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1704050064"/>
        <w:docPartObj>
          <w:docPartGallery w:val="Cover Pages"/>
          <w:docPartUnique/>
        </w:docPartObj>
      </w:sdtPr>
      <w:sdtEndPr>
        <w:rPr>
          <w:i/>
        </w:rPr>
      </w:sdtEndPr>
      <w:sdtContent>
        <w:p w14:paraId="0DE9AEDB" w14:textId="77777777" w:rsidR="00D8774F" w:rsidRPr="00C672F6" w:rsidRDefault="00C16AC1" w:rsidP="00D8774F">
          <w:pPr>
            <w:spacing w:after="200"/>
          </w:pPr>
          <w:r>
            <w:rPr>
              <w:noProof/>
            </w:rPr>
            <mc:AlternateContent>
              <mc:Choice Requires="wps">
                <w:drawing>
                  <wp:anchor distT="0" distB="0" distL="114300" distR="114300" simplePos="0" relativeHeight="251669504" behindDoc="0" locked="0" layoutInCell="1" allowOverlap="1" wp14:anchorId="6A6464FC" wp14:editId="288310C8">
                    <wp:simplePos x="0" y="0"/>
                    <wp:positionH relativeFrom="column">
                      <wp:posOffset>517277</wp:posOffset>
                    </wp:positionH>
                    <wp:positionV relativeFrom="paragraph">
                      <wp:posOffset>7740678</wp:posOffset>
                    </wp:positionV>
                    <wp:extent cx="2306955" cy="733425"/>
                    <wp:effectExtent l="0" t="0" r="0" b="0"/>
                    <wp:wrapNone/>
                    <wp:docPr id="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06955"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AAECA8F" w14:textId="77777777" w:rsidR="00F03AD8" w:rsidRPr="00402635" w:rsidRDefault="00F03AD8" w:rsidP="00C16AC1">
                                <w:pPr>
                                  <w:jc w:val="center"/>
                                  <w:rPr>
                                    <w:rFonts w:asciiTheme="majorHAnsi" w:hAnsiTheme="majorHAnsi"/>
                                    <w:b/>
                                    <w:color w:val="002060"/>
                                    <w:sz w:val="32"/>
                                    <w:szCs w:val="32"/>
                                  </w:rPr>
                                </w:pPr>
                                <w:r>
                                  <w:rPr>
                                    <w:rFonts w:asciiTheme="majorHAnsi" w:hAnsiTheme="majorHAnsi"/>
                                    <w:b/>
                                    <w:color w:val="002060"/>
                                    <w:sz w:val="32"/>
                                    <w:szCs w:val="32"/>
                                  </w:rPr>
                                  <w:t>August 2017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A6464FC" id="_x0000_t202" coordsize="21600,21600" o:spt="202" path="m,l,21600r21600,l21600,xe">
                    <v:stroke joinstyle="miter"/>
                    <v:path gradientshapeok="t" o:connecttype="rect"/>
                  </v:shapetype>
                  <v:shape id="Text Box 3" o:spid="_x0000_s1026" type="#_x0000_t202" style="position:absolute;margin-left:40.75pt;margin-top:609.5pt;width:181.65pt;height:57.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" filled="f" stroked="f" strokeweight=".5pt">
                    <v:path arrowok="t"/>
                    <v:textbox>
                      <w:txbxContent>
                        <w:p w14:paraId="1AAECA8F" w14:textId="77777777" w:rsidR="00F03AD8" w:rsidRPr="00402635" w:rsidRDefault="00F03AD8" w:rsidP="00C16AC1">
                          <w:pPr>
                            <w:jc w:val="center"/>
                            <w:rPr>
                              <w:rFonts w:asciiTheme="majorHAnsi" w:hAnsiTheme="majorHAnsi"/>
                              <w:b/>
                              <w:color w:val="002060"/>
                              <w:sz w:val="32"/>
                              <w:szCs w:val="32"/>
                            </w:rPr>
                          </w:pPr>
                          <w:r>
                            <w:rPr>
                              <w:rFonts w:asciiTheme="majorHAnsi" w:hAnsiTheme="majorHAnsi"/>
                              <w:b/>
                              <w:color w:val="002060"/>
                              <w:sz w:val="32"/>
                              <w:szCs w:val="32"/>
                            </w:rPr>
                            <w:t>August 2017</w:t>
                          </w:r>
                        </w:p>
                      </w:txbxContent>
                    </v:textbox>
                  </v:shape>
                </w:pict>
              </mc:Fallback>
            </mc:AlternateContent>
          </w:r>
          <w:r>
            <w:rPr>
              <w:noProof/>
            </w:rPr>
            <mc:AlternateContent>
              <mc:Choice Requires="wps">
                <w:drawing>
                  <wp:anchor distT="0" distB="0" distL="114300" distR="114300" simplePos="0" relativeHeight="251668480" behindDoc="0" locked="0" layoutInCell="1" allowOverlap="1" wp14:anchorId="47279E73" wp14:editId="55F67ACB">
                    <wp:simplePos x="0" y="0"/>
                    <wp:positionH relativeFrom="column">
                      <wp:posOffset>-299002</wp:posOffset>
                    </wp:positionH>
                    <wp:positionV relativeFrom="paragraph">
                      <wp:posOffset>5086654</wp:posOffset>
                    </wp:positionV>
                    <wp:extent cx="4688840" cy="3716655"/>
                    <wp:effectExtent l="0" t="0" r="0"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688840" cy="3716655"/>
                            </a:xfrm>
                            <a:prstGeom prst="rect">
                              <a:avLst/>
                            </a:prstGeom>
                            <a:gradFill flip="none" rotWithShape="1">
                              <a:gsLst>
                                <a:gs pos="0">
                                  <a:srgbClr val="C4D6EB"/>
                                </a:gs>
                                <a:gs pos="63000">
                                  <a:schemeClr val="bg1"/>
                                </a:gs>
                              </a:gsLst>
                              <a:lin ang="10800000" scaled="1"/>
                              <a:tileRect/>
                            </a:gradFill>
                            <a:ln w="6350">
                              <a:noFill/>
                            </a:ln>
                            <a:effectLst/>
                          </wps:spPr>
                          <wps:style>
                            <a:lnRef idx="0">
                              <a:schemeClr val="accent1"/>
                            </a:lnRef>
                            <a:fillRef idx="0">
                              <a:schemeClr val="accent1"/>
                            </a:fillRef>
                            <a:effectRef idx="0">
                              <a:schemeClr val="accent1"/>
                            </a:effectRef>
                            <a:fontRef idx="minor">
                              <a:schemeClr val="dk1"/>
                            </a:fontRef>
                          </wps:style>
                          <wps:txbx>
                            <w:txbxContent>
                              <w:p w14:paraId="3AFE8753" w14:textId="77777777" w:rsidR="00F03AD8" w:rsidRDefault="00F03AD8" w:rsidP="00D8774F">
                                <w:pPr>
                                  <w:rPr>
                                    <w:rFonts w:asciiTheme="majorHAnsi" w:hAnsiTheme="majorHAnsi"/>
                                    <w:color w:val="002060"/>
                                    <w:sz w:val="28"/>
                                  </w:rPr>
                                </w:pPr>
                              </w:p>
                              <w:p w14:paraId="519A421C" w14:textId="77777777" w:rsidR="00F03AD8" w:rsidRDefault="00F03AD8" w:rsidP="00D8774F">
                                <w:pPr>
                                  <w:rPr>
                                    <w:rFonts w:asciiTheme="majorHAnsi" w:hAnsiTheme="majorHAnsi"/>
                                    <w:color w:val="002060"/>
                                    <w:sz w:val="28"/>
                                  </w:rPr>
                                </w:pPr>
                              </w:p>
                              <w:p w14:paraId="25E7068A" w14:textId="77777777" w:rsidR="00F03AD8" w:rsidRPr="00945B43" w:rsidRDefault="00F03AD8" w:rsidP="00D8774F">
                                <w:pPr>
                                  <w:rPr>
                                    <w:rFonts w:asciiTheme="majorHAnsi" w:hAnsiTheme="majorHAnsi"/>
                                    <w:color w:val="002060"/>
                                    <w:sz w:val="28"/>
                                  </w:rPr>
                                </w:pPr>
                                <w:r w:rsidRPr="00945B43">
                                  <w:rPr>
                                    <w:rFonts w:asciiTheme="majorHAnsi" w:hAnsiTheme="majorHAnsi"/>
                                    <w:color w:val="002060"/>
                                    <w:sz w:val="28"/>
                                  </w:rPr>
                                  <w:t>The University of Memphis</w:t>
                                </w:r>
                              </w:p>
                              <w:p w14:paraId="2AF291DC" w14:textId="77777777" w:rsidR="00F03AD8" w:rsidRPr="00945B43" w:rsidRDefault="00F03AD8" w:rsidP="00D8774F">
                                <w:pPr>
                                  <w:rPr>
                                    <w:rFonts w:asciiTheme="majorHAnsi" w:hAnsiTheme="majorHAnsi"/>
                                    <w:color w:val="002060"/>
                                    <w:sz w:val="28"/>
                                  </w:rPr>
                                </w:pPr>
                                <w:r w:rsidRPr="00945B43">
                                  <w:rPr>
                                    <w:rFonts w:asciiTheme="majorHAnsi" w:hAnsiTheme="majorHAnsi"/>
                                    <w:color w:val="002060"/>
                                    <w:sz w:val="28"/>
                                  </w:rPr>
                                  <w:t xml:space="preserve">Civil Engineering Department </w:t>
                                </w:r>
                              </w:p>
                              <w:p w14:paraId="36D26177" w14:textId="77777777" w:rsidR="00F03AD8" w:rsidRPr="00945B43" w:rsidRDefault="00F03AD8" w:rsidP="00D8774F">
                                <w:pPr>
                                  <w:rPr>
                                    <w:rFonts w:asciiTheme="majorHAnsi" w:hAnsiTheme="majorHAnsi"/>
                                    <w:color w:val="002060"/>
                                    <w:sz w:val="28"/>
                                  </w:rPr>
                                </w:pPr>
                              </w:p>
                              <w:p w14:paraId="3FF1E314" w14:textId="77777777" w:rsidR="00F03AD8" w:rsidRPr="00945B43" w:rsidRDefault="00F03AD8" w:rsidP="00D8774F">
                                <w:pPr>
                                  <w:rPr>
                                    <w:rFonts w:asciiTheme="majorHAnsi" w:hAnsiTheme="majorHAnsi"/>
                                    <w:color w:val="002060"/>
                                  </w:rPr>
                                </w:pPr>
                                <w:r>
                                  <w:rPr>
                                    <w:rFonts w:asciiTheme="majorHAnsi" w:hAnsiTheme="majorHAnsi"/>
                                    <w:color w:val="002060"/>
                                  </w:rPr>
                                  <w:t>I</w:t>
                                </w:r>
                                <w:r w:rsidRPr="00945B43">
                                  <w:rPr>
                                    <w:rFonts w:asciiTheme="majorHAnsi" w:hAnsiTheme="majorHAnsi"/>
                                    <w:color w:val="002060"/>
                                  </w:rPr>
                                  <w:t>n conjunction with</w:t>
                                </w:r>
                                <w:r>
                                  <w:rPr>
                                    <w:rFonts w:asciiTheme="majorHAnsi" w:hAnsiTheme="majorHAnsi"/>
                                    <w:color w:val="002060"/>
                                  </w:rPr>
                                  <w:t>:</w:t>
                                </w:r>
                              </w:p>
                              <w:p w14:paraId="3DA14FBB" w14:textId="77777777" w:rsidR="00F03AD8" w:rsidRPr="00945B43" w:rsidRDefault="00F03AD8" w:rsidP="00D8774F">
                                <w:pPr>
                                  <w:rPr>
                                    <w:rFonts w:asciiTheme="majorHAnsi" w:hAnsiTheme="majorHAnsi"/>
                                    <w:color w:val="002060"/>
                                  </w:rPr>
                                </w:pPr>
                              </w:p>
                              <w:p w14:paraId="707C8E20" w14:textId="77777777" w:rsidR="00F03AD8" w:rsidRPr="00945B43" w:rsidRDefault="00F03AD8" w:rsidP="00D8774F">
                                <w:pPr>
                                  <w:rPr>
                                    <w:rFonts w:asciiTheme="majorHAnsi" w:hAnsiTheme="majorHAnsi"/>
                                    <w:color w:val="002060"/>
                                    <w:sz w:val="28"/>
                                  </w:rPr>
                                </w:pPr>
                                <w:r>
                                  <w:rPr>
                                    <w:rFonts w:asciiTheme="majorHAnsi" w:hAnsiTheme="majorHAnsi"/>
                                    <w:color w:val="002060"/>
                                    <w:sz w:val="28"/>
                                  </w:rPr>
                                  <w:t>U.S. Department of Energy</w:t>
                                </w:r>
                              </w:p>
                              <w:p w14:paraId="75654F9E" w14:textId="77777777" w:rsidR="00F03AD8" w:rsidRPr="00945B43" w:rsidRDefault="00F03AD8" w:rsidP="00D8774F">
                                <w:pPr>
                                  <w:rPr>
                                    <w:rFonts w:asciiTheme="majorHAnsi" w:hAnsiTheme="majorHAnsi"/>
                                    <w:color w:val="002060"/>
                                    <w:sz w:val="28"/>
                                  </w:rPr>
                                </w:pPr>
                                <w:r w:rsidRPr="00945B43">
                                  <w:rPr>
                                    <w:rFonts w:asciiTheme="majorHAnsi" w:hAnsiTheme="majorHAnsi"/>
                                    <w:color w:val="002060"/>
                                    <w:sz w:val="28"/>
                                  </w:rPr>
                                  <w:t>U.S. Environmental Protection Agency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279E73" id="Text Box 2" o:spid="_x0000_s1027" type="#_x0000_t202" style="position:absolute;margin-left:-23.55pt;margin-top:400.5pt;width:369.2pt;height:292.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" fillcolor="#c4d6eb" stroked="f" strokeweight=".5pt">
                    <v:fill color2="white [3212]" rotate="t" angle="270" colors="0 #c4d6eb;41288f white" focus="100%" type="gradient"/>
                    <v:path arrowok="t"/>
                    <v:textbox>
                      <w:txbxContent>
                        <w:p w14:paraId="3AFE8753" w14:textId="77777777" w:rsidR="00F03AD8" w:rsidRDefault="00F03AD8" w:rsidP="00D8774F">
                          <w:pPr>
                            <w:rPr>
                              <w:rFonts w:asciiTheme="majorHAnsi" w:hAnsiTheme="majorHAnsi"/>
                              <w:color w:val="002060"/>
                              <w:sz w:val="28"/>
                            </w:rPr>
                          </w:pPr>
                        </w:p>
                        <w:p w14:paraId="519A421C" w14:textId="77777777" w:rsidR="00F03AD8" w:rsidRDefault="00F03AD8" w:rsidP="00D8774F">
                          <w:pPr>
                            <w:rPr>
                              <w:rFonts w:asciiTheme="majorHAnsi" w:hAnsiTheme="majorHAnsi"/>
                              <w:color w:val="002060"/>
                              <w:sz w:val="28"/>
                            </w:rPr>
                          </w:pPr>
                        </w:p>
                        <w:p w14:paraId="25E7068A" w14:textId="77777777" w:rsidR="00F03AD8" w:rsidRPr="00945B43" w:rsidRDefault="00F03AD8" w:rsidP="00D8774F">
                          <w:pPr>
                            <w:rPr>
                              <w:rFonts w:asciiTheme="majorHAnsi" w:hAnsiTheme="majorHAnsi"/>
                              <w:color w:val="002060"/>
                              <w:sz w:val="28"/>
                            </w:rPr>
                          </w:pPr>
                          <w:r w:rsidRPr="00945B43">
                            <w:rPr>
                              <w:rFonts w:asciiTheme="majorHAnsi" w:hAnsiTheme="majorHAnsi"/>
                              <w:color w:val="002060"/>
                              <w:sz w:val="28"/>
                            </w:rPr>
                            <w:t>The University of Memphis</w:t>
                          </w:r>
                        </w:p>
                        <w:p w14:paraId="2AF291DC" w14:textId="77777777" w:rsidR="00F03AD8" w:rsidRPr="00945B43" w:rsidRDefault="00F03AD8" w:rsidP="00D8774F">
                          <w:pPr>
                            <w:rPr>
                              <w:rFonts w:asciiTheme="majorHAnsi" w:hAnsiTheme="majorHAnsi"/>
                              <w:color w:val="002060"/>
                              <w:sz w:val="28"/>
                            </w:rPr>
                          </w:pPr>
                          <w:r w:rsidRPr="00945B43">
                            <w:rPr>
                              <w:rFonts w:asciiTheme="majorHAnsi" w:hAnsiTheme="majorHAnsi"/>
                              <w:color w:val="002060"/>
                              <w:sz w:val="28"/>
                            </w:rPr>
                            <w:t xml:space="preserve">Civil Engineering Department </w:t>
                          </w:r>
                        </w:p>
                        <w:p w14:paraId="36D26177" w14:textId="77777777" w:rsidR="00F03AD8" w:rsidRPr="00945B43" w:rsidRDefault="00F03AD8" w:rsidP="00D8774F">
                          <w:pPr>
                            <w:rPr>
                              <w:rFonts w:asciiTheme="majorHAnsi" w:hAnsiTheme="majorHAnsi"/>
                              <w:color w:val="002060"/>
                              <w:sz w:val="28"/>
                            </w:rPr>
                          </w:pPr>
                        </w:p>
                        <w:p w14:paraId="3FF1E314" w14:textId="77777777" w:rsidR="00F03AD8" w:rsidRPr="00945B43" w:rsidRDefault="00F03AD8" w:rsidP="00D8774F">
                          <w:pPr>
                            <w:rPr>
                              <w:rFonts w:asciiTheme="majorHAnsi" w:hAnsiTheme="majorHAnsi"/>
                              <w:color w:val="002060"/>
                            </w:rPr>
                          </w:pPr>
                          <w:r>
                            <w:rPr>
                              <w:rFonts w:asciiTheme="majorHAnsi" w:hAnsiTheme="majorHAnsi"/>
                              <w:color w:val="002060"/>
                            </w:rPr>
                            <w:t>I</w:t>
                          </w:r>
                          <w:r w:rsidRPr="00945B43">
                            <w:rPr>
                              <w:rFonts w:asciiTheme="majorHAnsi" w:hAnsiTheme="majorHAnsi"/>
                              <w:color w:val="002060"/>
                            </w:rPr>
                            <w:t>n conjunction with</w:t>
                          </w:r>
                          <w:r>
                            <w:rPr>
                              <w:rFonts w:asciiTheme="majorHAnsi" w:hAnsiTheme="majorHAnsi"/>
                              <w:color w:val="002060"/>
                            </w:rPr>
                            <w:t>:</w:t>
                          </w:r>
                        </w:p>
                        <w:p w14:paraId="3DA14FBB" w14:textId="77777777" w:rsidR="00F03AD8" w:rsidRPr="00945B43" w:rsidRDefault="00F03AD8" w:rsidP="00D8774F">
                          <w:pPr>
                            <w:rPr>
                              <w:rFonts w:asciiTheme="majorHAnsi" w:hAnsiTheme="majorHAnsi"/>
                              <w:color w:val="002060"/>
                            </w:rPr>
                          </w:pPr>
                        </w:p>
                        <w:p w14:paraId="707C8E20" w14:textId="77777777" w:rsidR="00F03AD8" w:rsidRPr="00945B43" w:rsidRDefault="00F03AD8" w:rsidP="00D8774F">
                          <w:pPr>
                            <w:rPr>
                              <w:rFonts w:asciiTheme="majorHAnsi" w:hAnsiTheme="majorHAnsi"/>
                              <w:color w:val="002060"/>
                              <w:sz w:val="28"/>
                            </w:rPr>
                          </w:pPr>
                          <w:r>
                            <w:rPr>
                              <w:rFonts w:asciiTheme="majorHAnsi" w:hAnsiTheme="majorHAnsi"/>
                              <w:color w:val="002060"/>
                              <w:sz w:val="28"/>
                            </w:rPr>
                            <w:t>U.S. Department of Energy</w:t>
                          </w:r>
                        </w:p>
                        <w:p w14:paraId="75654F9E" w14:textId="77777777" w:rsidR="00F03AD8" w:rsidRPr="00945B43" w:rsidRDefault="00F03AD8" w:rsidP="00D8774F">
                          <w:pPr>
                            <w:rPr>
                              <w:rFonts w:asciiTheme="majorHAnsi" w:hAnsiTheme="majorHAnsi"/>
                              <w:color w:val="002060"/>
                              <w:sz w:val="28"/>
                            </w:rPr>
                          </w:pPr>
                          <w:r w:rsidRPr="00945B43">
                            <w:rPr>
                              <w:rFonts w:asciiTheme="majorHAnsi" w:hAnsiTheme="majorHAnsi"/>
                              <w:color w:val="002060"/>
                              <w:sz w:val="28"/>
                            </w:rPr>
                            <w:t>U.S. Environmental Protection Agency</w:t>
                          </w:r>
                        </w:p>
                      </w:txbxContent>
                    </v:textbox>
                  </v:shape>
                </w:pict>
              </mc:Fallback>
            </mc:AlternateContent>
          </w:r>
          <w:r>
            <w:rPr>
              <w:noProof/>
            </w:rPr>
            <mc:AlternateContent>
              <mc:Choice Requires="wpg">
                <w:drawing>
                  <wp:anchor distT="0" distB="0" distL="114300" distR="114300" simplePos="0" relativeHeight="251660288" behindDoc="0" locked="0" layoutInCell="1" allowOverlap="1" wp14:anchorId="6BD18F7E" wp14:editId="617AB521">
                    <wp:simplePos x="0" y="0"/>
                    <wp:positionH relativeFrom="column">
                      <wp:posOffset>4887595</wp:posOffset>
                    </wp:positionH>
                    <wp:positionV relativeFrom="paragraph">
                      <wp:posOffset>-914400</wp:posOffset>
                    </wp:positionV>
                    <wp:extent cx="2885440" cy="9742170"/>
                    <wp:effectExtent l="1905" t="0" r="0" b="1905"/>
                    <wp:wrapNone/>
                    <wp:docPr id="11" name="Group 3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85440" cy="9742170"/>
                              <a:chOff x="7560" y="0"/>
                              <a:chExt cx="4700" cy="15840"/>
                            </a:xfrm>
                          </wpg:grpSpPr>
                          <wps:wsp>
                            <wps:cNvPr id="12" name="Rectangle 365"/>
                            <wps:cNvSpPr>
                              <a:spLocks noChangeArrowheads="1"/>
                            </wps:cNvSpPr>
                            <wps:spPr bwMode="auto">
                              <a:xfrm>
                                <a:off x="7755" y="0"/>
                                <a:ext cx="4505" cy="15840"/>
                              </a:xfrm>
                              <a:prstGeom prst="rect">
                                <a:avLst/>
                              </a:prstGeom>
                              <a:solidFill>
                                <a:schemeClr val="tx2">
                                  <a:lumMod val="40000"/>
                                  <a:lumOff val="6000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 name="Rectangle 366" descr="Light vertical"/>
                            <wps:cNvSpPr>
                              <a:spLocks noChangeArrowheads="1"/>
                            </wps:cNvSpPr>
                            <wps:spPr bwMode="auto">
                              <a:xfrm>
                                <a:off x="7560" y="8"/>
                                <a:ext cx="195" cy="15825"/>
                              </a:xfrm>
                              <a:prstGeom prst="rect">
                                <a:avLst/>
                              </a:prstGeom>
                              <a:pattFill prst="ltVert">
                                <a:fgClr>
                                  <a:schemeClr val="tx2">
                                    <a:lumMod val="100000"/>
                                    <a:lumOff val="0"/>
                                    <a:alpha val="79999"/>
                                  </a:schemeClr>
                                </a:fgClr>
                                <a:bgClr>
                                  <a:schemeClr val="bg1">
                                    <a:lumMod val="100000"/>
                                    <a:lumOff val="0"/>
                                    <a:alpha val="79999"/>
                                  </a:schemeClr>
                                </a:bgClr>
                              </a:pattFill>
                              <a:ln>
                                <a:noFill/>
                              </a:ln>
                              <a:effectLst/>
                              <a:extLs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g:wgp>
                      </a:graphicData>
                    </a:graphic>
                    <wp14:sizeRelH relativeFrom="margin">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group w14:anchorId="4D522B19" id="Group 364" o:spid="_x0000_s1026" style="position:absolute;margin-left:384.85pt;margin-top:-1in;width:227.2pt;height:767.1pt;z-index:251660288;mso-width-relative:margin" coordorigin="7560" coordsize="4700,15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">
                    <v:rect id="Rectangle 365" o:spid="_x0000_s1027" style="position:absolute;left:7755;width:4505;height:158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" fillcolor="#8db3e2 [1311]" stroked="f"/>
                    <v:rect id="Rectangle 366" o:spid="_x0000_s1028" alt="Light vertical" style="position:absolute;left:7560;top:8;width:195;height:158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" fillcolor="#1f497d [3215]" stroked="f" strokeweight="1pt">
                      <v:fill r:id="rId8" o:title="" opacity="52428f" color2="white [3212]" o:opacity2="52428f" type="pattern"/>
                      <v:shadow color="#d8d8d8" offset="3pt,3pt"/>
                    </v:rect>
                  </v:group>
                </w:pict>
              </mc:Fallback>
            </mc:AlternateContent>
          </w:r>
          <w:r>
            <w:rPr>
              <w:noProof/>
            </w:rPr>
            <mc:AlternateContent>
              <mc:Choice Requires="wps">
                <w:drawing>
                  <wp:anchor distT="0" distB="0" distL="114300" distR="114300" simplePos="0" relativeHeight="251667456" behindDoc="0" locked="0" layoutInCell="0" allowOverlap="1" wp14:anchorId="3B83A39B" wp14:editId="44284B5F">
                    <wp:simplePos x="0" y="0"/>
                    <wp:positionH relativeFrom="page">
                      <wp:posOffset>370481</wp:posOffset>
                    </wp:positionH>
                    <wp:positionV relativeFrom="topMargin">
                      <wp:align>bottom</wp:align>
                    </wp:positionV>
                    <wp:extent cx="5412105" cy="521335"/>
                    <wp:effectExtent l="0" t="0" r="17145" b="12065"/>
                    <wp:wrapNone/>
                    <wp:docPr id="9"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12105" cy="521335"/>
                            </a:xfrm>
                            <a:prstGeom prst="rect">
                              <a:avLst/>
                            </a:prstGeom>
                            <a:solidFill>
                              <a:srgbClr val="002060"/>
                            </a:solidFill>
                            <a:ln w="12700">
                              <a:solidFill>
                                <a:schemeClr val="bg1">
                                  <a:lumMod val="100000"/>
                                  <a:lumOff val="0"/>
                                </a:schemeClr>
                              </a:solidFill>
                              <a:miter lim="800000"/>
                              <a:headEnd/>
                              <a:tailEnd/>
                            </a:ln>
                          </wps:spPr>
                          <wps:txbx>
                            <w:txbxContent>
                              <w:p w14:paraId="4FFD5CF8" w14:textId="77777777" w:rsidR="00F03AD8" w:rsidRPr="00D8774F" w:rsidRDefault="00215B09" w:rsidP="00D8774F">
                                <w:pPr>
                                  <w:pStyle w:val="NoSpacing"/>
                                  <w:jc w:val="center"/>
                                  <w:rPr>
                                    <w:rFonts w:asciiTheme="majorHAnsi" w:eastAsiaTheme="majorEastAsia" w:hAnsiTheme="majorHAnsi" w:cstheme="majorBidi"/>
                                    <w:color w:val="FFFFFF" w:themeColor="background1"/>
                                    <w:sz w:val="56"/>
                                    <w:szCs w:val="72"/>
                                  </w:rPr>
                                </w:pPr>
                                <w:sdt>
                                  <w:sdtPr>
                                    <w:rPr>
                                      <w:rFonts w:asciiTheme="majorHAnsi" w:eastAsiaTheme="majorEastAsia" w:hAnsiTheme="majorHAnsi" w:cstheme="majorBidi"/>
                                      <w:color w:val="FFFFFF" w:themeColor="background1"/>
                                      <w:sz w:val="56"/>
                                      <w:szCs w:val="56"/>
                                    </w:rPr>
                                    <w:alias w:val="Title"/>
                                    <w:id w:val="959355072"/>
                                    <w:dataBinding w:prefixMappings="xmlns:ns0='http://schemas.openxmlformats.org/package/2006/metadata/core-properties' xmlns:ns1='http://purl.org/dc/elements/1.1/'" w:xpath="/ns0:coreProperties[1]/ns1:title[1]" w:storeItemID="{6C3C8BC8-F283-45AE-878A-BAB7291924A1}"/>
                                    <w:text/>
                                  </w:sdtPr>
                                  <w:sdtEndPr/>
                                  <w:sdtContent>
                                    <w:r w:rsidR="00F03AD8">
                                      <w:rPr>
                                        <w:rFonts w:asciiTheme="majorHAnsi" w:eastAsiaTheme="majorEastAsia" w:hAnsiTheme="majorHAnsi" w:cstheme="majorBidi"/>
                                        <w:color w:val="FFFFFF" w:themeColor="background1"/>
                                        <w:sz w:val="56"/>
                                        <w:szCs w:val="56"/>
                                      </w:rPr>
                                      <w:t>Bio-Tiger Model User Manual</w:t>
                                    </w:r>
                                  </w:sdtContent>
                                </w:sdt>
                              </w:p>
                            </w:txbxContent>
                          </wps:txbx>
                          <wps:bodyPr rot="0" vert="horz" wrap="square" lIns="182880" tIns="45720" rIns="182880" bIns="45720" anchor="ctr" anchorCtr="0" upright="1">
                            <a:spAutoFit/>
                          </wps:bodyPr>
                        </wps:wsp>
                      </a:graphicData>
                    </a:graphic>
                    <wp14:sizeRelH relativeFrom="page">
                      <wp14:pctWidth>0</wp14:pctWidth>
                    </wp14:sizeRelH>
                    <wp14:sizeRelV relativeFrom="page">
                      <wp14:pctHeight>7300</wp14:pctHeight>
                    </wp14:sizeRelV>
                  </wp:anchor>
                </w:drawing>
              </mc:Choice>
              <mc:Fallback>
                <w:pict>
                  <v:rect w14:anchorId="3B83A39B" id="Rectangle 16" o:spid="_x0000_s1028" style="position:absolute;margin-left:29.15pt;margin-top:0;width:426.15pt;height:41.05pt;z-index:251667456;visibility:visible;mso-wrap-style:square;mso-width-percent:0;mso-height-percent:73;mso-wrap-distance-left:9pt;mso-wrap-distance-top:0;mso-wrap-distance-right:9pt;mso-wrap-distance-bottom:0;mso-position-horizontal:absolute;mso-position-horizontal-relative:page;mso-position-vertical:bottom;mso-position-vertical-relative:top-margin-area;mso-width-percent:0;mso-height-percent: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" o:allowincell="f" fillcolor="#002060" strokecolor="white [3212]" strokeweight="1pt">
                    <v:textbox style="mso-fit-shape-to-text:t" inset="14.4pt,,14.4pt">
                      <w:txbxContent>
                        <w:p w14:paraId="4FFD5CF8" w14:textId="77777777" w:rsidR="00F03AD8" w:rsidRPr="00D8774F" w:rsidRDefault="00533FB7" w:rsidP="00D8774F">
                          <w:pPr>
                            <w:pStyle w:val="NoSpacing"/>
                            <w:jc w:val="center"/>
                            <w:rPr>
                              <w:rFonts w:asciiTheme="majorHAnsi" w:eastAsiaTheme="majorEastAsia" w:hAnsiTheme="majorHAnsi" w:cstheme="majorBidi"/>
                              <w:color w:val="FFFFFF" w:themeColor="background1"/>
                              <w:sz w:val="56"/>
                              <w:szCs w:val="72"/>
                            </w:rPr>
                          </w:pPr>
                          <w:sdt>
                            <w:sdtPr>
                              <w:rPr>
                                <w:rFonts w:asciiTheme="majorHAnsi" w:eastAsiaTheme="majorEastAsia" w:hAnsiTheme="majorHAnsi" w:cstheme="majorBidi"/>
                                <w:color w:val="FFFFFF" w:themeColor="background1"/>
                                <w:sz w:val="56"/>
                                <w:szCs w:val="56"/>
                              </w:rPr>
                              <w:alias w:val="Title"/>
                              <w:id w:val="959355072"/>
                              <w:dataBinding w:prefixMappings="xmlns:ns0='http://schemas.openxmlformats.org/package/2006/metadata/core-properties' xmlns:ns1='http://purl.org/dc/elements/1.1/'" w:xpath="/ns0:coreProperties[1]/ns1:title[1]" w:storeItemID="{6C3C8BC8-F283-45AE-878A-BAB7291924A1}"/>
                              <w:text/>
                            </w:sdtPr>
                            <w:sdtEndPr/>
                            <w:sdtContent>
                              <w:r w:rsidR="00F03AD8">
                                <w:rPr>
                                  <w:rFonts w:asciiTheme="majorHAnsi" w:eastAsiaTheme="majorEastAsia" w:hAnsiTheme="majorHAnsi" w:cstheme="majorBidi"/>
                                  <w:color w:val="FFFFFF" w:themeColor="background1"/>
                                  <w:sz w:val="56"/>
                                  <w:szCs w:val="56"/>
                                </w:rPr>
                                <w:t>Bio-Tiger Model User Manual</w:t>
                              </w:r>
                            </w:sdtContent>
                          </w:sdt>
                        </w:p>
                      </w:txbxContent>
                    </v:textbox>
                    <w10:wrap anchorx="page" anchory="margin"/>
                  </v:rect>
                </w:pict>
              </mc:Fallback>
            </mc:AlternateContent>
          </w:r>
          <w:r>
            <w:rPr>
              <w:noProof/>
            </w:rPr>
            <mc:AlternateContent>
              <mc:Choice Requires="wps">
                <w:drawing>
                  <wp:anchor distT="0" distB="0" distL="114300" distR="114300" simplePos="0" relativeHeight="251666432" behindDoc="0" locked="0" layoutInCell="1" allowOverlap="1" wp14:anchorId="58E06216" wp14:editId="331FD962">
                    <wp:simplePos x="0" y="0"/>
                    <wp:positionH relativeFrom="column">
                      <wp:posOffset>724922</wp:posOffset>
                    </wp:positionH>
                    <wp:positionV relativeFrom="paragraph">
                      <wp:posOffset>3946166</wp:posOffset>
                    </wp:positionV>
                    <wp:extent cx="2699385" cy="935355"/>
                    <wp:effectExtent l="0" t="0" r="0" b="0"/>
                    <wp:wrapNone/>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99385" cy="9353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A8F7400" w14:textId="77777777" w:rsidR="00F03AD8" w:rsidRDefault="00F03AD8" w:rsidP="00C16AC1">
                                <w:pPr>
                                  <w:jc w:val="center"/>
                                  <w:rPr>
                                    <w:rFonts w:asciiTheme="majorHAnsi" w:hAnsiTheme="majorHAnsi"/>
                                    <w:b/>
                                    <w:color w:val="002060"/>
                                    <w:sz w:val="32"/>
                                  </w:rPr>
                                </w:pPr>
                              </w:p>
                              <w:p w14:paraId="1C620436" w14:textId="77777777" w:rsidR="00F03AD8" w:rsidRPr="00C16AC1" w:rsidRDefault="00F03AD8" w:rsidP="00C16AC1">
                                <w:pPr>
                                  <w:jc w:val="center"/>
                                  <w:rPr>
                                    <w:rFonts w:asciiTheme="majorHAnsi" w:hAnsiTheme="majorHAnsi"/>
                                    <w:b/>
                                    <w:color w:val="002060"/>
                                    <w:sz w:val="16"/>
                                    <w:szCs w:val="16"/>
                                  </w:rPr>
                                </w:pPr>
                              </w:p>
                              <w:p w14:paraId="774847C8" w14:textId="77777777" w:rsidR="00F03AD8" w:rsidRPr="00D771D7" w:rsidRDefault="00F03AD8" w:rsidP="00D8774F">
                                <w:pPr>
                                  <w:rPr>
                                    <w:rFonts w:asciiTheme="majorHAnsi" w:hAnsiTheme="majorHAnsi"/>
                                    <w:b/>
                                    <w:color w:val="002060"/>
                                    <w:sz w:val="32"/>
                                  </w:rPr>
                                </w:pPr>
                                <w:r w:rsidRPr="00D771D7">
                                  <w:rPr>
                                    <w:rFonts w:asciiTheme="majorHAnsi" w:hAnsiTheme="majorHAnsi"/>
                                    <w:b/>
                                    <w:color w:val="002060"/>
                                    <w:sz w:val="32"/>
                                  </w:rPr>
                                  <w:t>Larry W. Moore, Ph.D., P.E.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E06216" id="Text Box 4" o:spid="_x0000_s1029" type="#_x0000_t202" style="position:absolute;margin-left:57.1pt;margin-top:310.7pt;width:212.55pt;height:73.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" filled="f" stroked="f" strokeweight=".5pt">
                    <v:path arrowok="t"/>
                    <v:textbox>
                      <w:txbxContent>
                        <w:p w14:paraId="6A8F7400" w14:textId="77777777" w:rsidR="00F03AD8" w:rsidRDefault="00F03AD8" w:rsidP="00C16AC1">
                          <w:pPr>
                            <w:jc w:val="center"/>
                            <w:rPr>
                              <w:rFonts w:asciiTheme="majorHAnsi" w:hAnsiTheme="majorHAnsi"/>
                              <w:b/>
                              <w:color w:val="002060"/>
                              <w:sz w:val="32"/>
                            </w:rPr>
                          </w:pPr>
                        </w:p>
                        <w:p w14:paraId="1C620436" w14:textId="77777777" w:rsidR="00F03AD8" w:rsidRPr="00C16AC1" w:rsidRDefault="00F03AD8" w:rsidP="00C16AC1">
                          <w:pPr>
                            <w:jc w:val="center"/>
                            <w:rPr>
                              <w:rFonts w:asciiTheme="majorHAnsi" w:hAnsiTheme="majorHAnsi"/>
                              <w:b/>
                              <w:color w:val="002060"/>
                              <w:sz w:val="16"/>
                              <w:szCs w:val="16"/>
                            </w:rPr>
                          </w:pPr>
                        </w:p>
                        <w:p w14:paraId="774847C8" w14:textId="77777777" w:rsidR="00F03AD8" w:rsidRPr="00D771D7" w:rsidRDefault="00F03AD8" w:rsidP="00D8774F">
                          <w:pPr>
                            <w:rPr>
                              <w:rFonts w:asciiTheme="majorHAnsi" w:hAnsiTheme="majorHAnsi"/>
                              <w:b/>
                              <w:color w:val="002060"/>
                              <w:sz w:val="32"/>
                            </w:rPr>
                          </w:pPr>
                          <w:r w:rsidRPr="00D771D7">
                            <w:rPr>
                              <w:rFonts w:asciiTheme="majorHAnsi" w:hAnsiTheme="majorHAnsi"/>
                              <w:b/>
                              <w:color w:val="002060"/>
                              <w:sz w:val="32"/>
                            </w:rPr>
                            <w:t>Larry W. Moore, Ph.D., P.E.</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67E353F3" wp14:editId="171878D5">
                    <wp:simplePos x="0" y="0"/>
                    <wp:positionH relativeFrom="margin">
                      <wp:align>left</wp:align>
                    </wp:positionH>
                    <wp:positionV relativeFrom="paragraph">
                      <wp:posOffset>3140296</wp:posOffset>
                    </wp:positionV>
                    <wp:extent cx="4613579" cy="850790"/>
                    <wp:effectExtent l="0" t="0" r="0" b="6985"/>
                    <wp:wrapNone/>
                    <wp:docPr id="1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613579" cy="8507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6F2CA2F" w14:textId="77777777" w:rsidR="00F03AD8" w:rsidRPr="00C16AC1" w:rsidRDefault="00F03AD8" w:rsidP="007B183D">
                                <w:pPr>
                                  <w:jc w:val="center"/>
                                  <w:rPr>
                                    <w:rFonts w:asciiTheme="majorHAnsi" w:hAnsiTheme="majorHAnsi"/>
                                    <w:b/>
                                    <w:color w:val="002060"/>
                                    <w:sz w:val="32"/>
                                    <w:szCs w:val="32"/>
                                  </w:rPr>
                                </w:pPr>
                                <w:r>
                                  <w:rPr>
                                    <w:rFonts w:asciiTheme="majorHAnsi" w:hAnsiTheme="majorHAnsi"/>
                                    <w:b/>
                                    <w:color w:val="002060"/>
                                    <w:sz w:val="32"/>
                                    <w:szCs w:val="32"/>
                                  </w:rPr>
                                  <w:t xml:space="preserve">Bio-Tiger Model – </w:t>
                                </w:r>
                                <w:proofErr w:type="spellStart"/>
                                <w:r>
                                  <w:rPr>
                                    <w:rFonts w:asciiTheme="majorHAnsi" w:hAnsiTheme="majorHAnsi"/>
                                    <w:b/>
                                    <w:color w:val="002060"/>
                                    <w:sz w:val="32"/>
                                    <w:szCs w:val="32"/>
                                  </w:rPr>
                                  <w:t>Biokinetic</w:t>
                                </w:r>
                                <w:proofErr w:type="spellEnd"/>
                                <w:r>
                                  <w:rPr>
                                    <w:rFonts w:asciiTheme="majorHAnsi" w:hAnsiTheme="majorHAnsi"/>
                                    <w:b/>
                                    <w:color w:val="002060"/>
                                    <w:sz w:val="32"/>
                                    <w:szCs w:val="32"/>
                                  </w:rPr>
                                  <w:t xml:space="preserve"> Model that Simulates Activated Sludge Processes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E353F3" id="Text Box 1" o:spid="_x0000_s1030" type="#_x0000_t202" style="position:absolute;margin-left:0;margin-top:247.25pt;width:363.25pt;height:67pt;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" filled="f" stroked="f" strokeweight=".5pt">
                    <v:path arrowok="t"/>
                    <v:textbox>
                      <w:txbxContent>
                        <w:p w14:paraId="56F2CA2F" w14:textId="77777777" w:rsidR="00F03AD8" w:rsidRPr="00C16AC1" w:rsidRDefault="00F03AD8" w:rsidP="007B183D">
                          <w:pPr>
                            <w:jc w:val="center"/>
                            <w:rPr>
                              <w:rFonts w:asciiTheme="majorHAnsi" w:hAnsiTheme="majorHAnsi"/>
                              <w:b/>
                              <w:color w:val="002060"/>
                              <w:sz w:val="32"/>
                              <w:szCs w:val="32"/>
                            </w:rPr>
                          </w:pPr>
                          <w:r>
                            <w:rPr>
                              <w:rFonts w:asciiTheme="majorHAnsi" w:hAnsiTheme="majorHAnsi"/>
                              <w:b/>
                              <w:color w:val="002060"/>
                              <w:sz w:val="32"/>
                              <w:szCs w:val="32"/>
                            </w:rPr>
                            <w:t xml:space="preserve">Bio-Tiger Model – </w:t>
                          </w:r>
                          <w:proofErr w:type="spellStart"/>
                          <w:r>
                            <w:rPr>
                              <w:rFonts w:asciiTheme="majorHAnsi" w:hAnsiTheme="majorHAnsi"/>
                              <w:b/>
                              <w:color w:val="002060"/>
                              <w:sz w:val="32"/>
                              <w:szCs w:val="32"/>
                            </w:rPr>
                            <w:t>Biokinetic</w:t>
                          </w:r>
                          <w:proofErr w:type="spellEnd"/>
                          <w:r>
                            <w:rPr>
                              <w:rFonts w:asciiTheme="majorHAnsi" w:hAnsiTheme="majorHAnsi"/>
                              <w:b/>
                              <w:color w:val="002060"/>
                              <w:sz w:val="32"/>
                              <w:szCs w:val="32"/>
                            </w:rPr>
                            <w:t xml:space="preserve"> Model that Simulates Activated Sludge Processes</w:t>
                          </w:r>
                        </w:p>
                      </w:txbxContent>
                    </v:textbox>
                    <w10:wrap anchorx="margin"/>
                  </v:shape>
                </w:pict>
              </mc:Fallback>
            </mc:AlternateContent>
          </w:r>
          <w:r w:rsidRPr="00C16AC1">
            <w:rPr>
              <w:noProof/>
            </w:rPr>
            <w:drawing>
              <wp:inline distT="0" distB="0" distL="0" distR="0" wp14:anchorId="20E037E8" wp14:editId="54CD7F6B">
                <wp:extent cx="4528013" cy="2535506"/>
                <wp:effectExtent l="0" t="0" r="635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575268" cy="2561967"/>
                        </a:xfrm>
                        <a:prstGeom prst="rect">
                          <a:avLst/>
                        </a:prstGeom>
                        <a:noFill/>
                        <a:ln>
                          <a:noFill/>
                        </a:ln>
                      </pic:spPr>
                    </pic:pic>
                  </a:graphicData>
                </a:graphic>
              </wp:inline>
            </w:drawing>
          </w:r>
          <w:r w:rsidR="00D8774F" w:rsidRPr="00D8774F">
            <w:br w:type="page"/>
          </w:r>
        </w:p>
      </w:sdtContent>
    </w:sdt>
    <w:p w14:paraId="58E5B6B0" w14:textId="77777777" w:rsidR="007B70A8" w:rsidRDefault="007B70A8" w:rsidP="007B70A8">
      <w:pPr>
        <w:jc w:val="center"/>
        <w:rPr>
          <w:b/>
          <w:sz w:val="28"/>
        </w:rPr>
      </w:pPr>
    </w:p>
    <w:p w14:paraId="7F9E6170" w14:textId="77777777" w:rsidR="007B70A8" w:rsidRDefault="007B70A8" w:rsidP="007B70A8">
      <w:pPr>
        <w:jc w:val="center"/>
        <w:rPr>
          <w:rFonts w:ascii="Arial" w:hAnsi="Arial"/>
          <w:b/>
        </w:rPr>
      </w:pPr>
    </w:p>
    <w:p w14:paraId="7A0D0E47" w14:textId="77777777" w:rsidR="007B70A8" w:rsidRDefault="007B70A8" w:rsidP="007B70A8">
      <w:pPr>
        <w:jc w:val="center"/>
        <w:rPr>
          <w:rFonts w:ascii="Arial" w:hAnsi="Arial"/>
        </w:rPr>
      </w:pPr>
    </w:p>
    <w:p w14:paraId="61E9BF17" w14:textId="77777777" w:rsidR="007B70A8" w:rsidRPr="002552E7" w:rsidRDefault="007B70A8" w:rsidP="007B70A8">
      <w:pPr>
        <w:pStyle w:val="Title"/>
        <w:spacing w:line="480" w:lineRule="auto"/>
        <w:rPr>
          <w:b/>
        </w:rPr>
      </w:pPr>
      <w:r w:rsidRPr="002552E7">
        <w:rPr>
          <w:b/>
        </w:rPr>
        <w:t>IMPORTANT NOTICE</w:t>
      </w:r>
    </w:p>
    <w:p w14:paraId="5F54B496" w14:textId="77777777" w:rsidR="007B70A8" w:rsidRDefault="007B70A8" w:rsidP="007B70A8">
      <w:pPr>
        <w:pStyle w:val="Title"/>
        <w:spacing w:line="480" w:lineRule="auto"/>
      </w:pPr>
    </w:p>
    <w:p w14:paraId="4FA0D986" w14:textId="77777777" w:rsidR="007B183D" w:rsidRDefault="007B70A8" w:rsidP="007B70A8">
      <w:pPr>
        <w:pStyle w:val="BodyText"/>
        <w:spacing w:line="480" w:lineRule="auto"/>
        <w:jc w:val="both"/>
        <w:rPr>
          <w:sz w:val="24"/>
        </w:rPr>
      </w:pPr>
      <w:r>
        <w:rPr>
          <w:sz w:val="24"/>
        </w:rPr>
        <w:t>The</w:t>
      </w:r>
      <w:r w:rsidR="007B183D">
        <w:rPr>
          <w:sz w:val="24"/>
        </w:rPr>
        <w:t xml:space="preserve"> Bio-Tiger model was developed by Dr. Moore and his graduate students to simulate activated sludge processes. Dr. Moore has used this model (and previous versions of it) to analyze approximately 100 activated sludge processes throughout the U.S.</w:t>
      </w:r>
      <w:r>
        <w:rPr>
          <w:sz w:val="24"/>
        </w:rPr>
        <w:t xml:space="preserve"> </w:t>
      </w:r>
      <w:r w:rsidR="007B183D">
        <w:rPr>
          <w:sz w:val="24"/>
        </w:rPr>
        <w:t>In general, the model is very useful for making process decisions to optimize the activated sludge process, to achieve energy savings via better aeration system control, and to improve effluent quality (especially in terms of effluent Total Nitrogen reduction).</w:t>
      </w:r>
    </w:p>
    <w:p w14:paraId="68C5CD42" w14:textId="77777777" w:rsidR="007B183D" w:rsidRDefault="007B183D" w:rsidP="007B70A8">
      <w:pPr>
        <w:pStyle w:val="BodyText"/>
        <w:spacing w:line="480" w:lineRule="auto"/>
        <w:jc w:val="both"/>
        <w:rPr>
          <w:sz w:val="24"/>
        </w:rPr>
      </w:pPr>
    </w:p>
    <w:p w14:paraId="0760462E" w14:textId="77777777" w:rsidR="007B70A8" w:rsidRDefault="007B183D" w:rsidP="007B70A8">
      <w:pPr>
        <w:pStyle w:val="BodyText"/>
        <w:spacing w:line="480" w:lineRule="auto"/>
        <w:jc w:val="both"/>
        <w:rPr>
          <w:sz w:val="24"/>
        </w:rPr>
      </w:pPr>
      <w:r>
        <w:rPr>
          <w:sz w:val="24"/>
        </w:rPr>
        <w:t>The contents of this manual</w:t>
      </w:r>
      <w:r w:rsidR="007B70A8">
        <w:rPr>
          <w:sz w:val="24"/>
        </w:rPr>
        <w:t xml:space="preserve"> are for general guidance only and are not i</w:t>
      </w:r>
      <w:r w:rsidR="003940C5">
        <w:rPr>
          <w:sz w:val="24"/>
        </w:rPr>
        <w:t>ntended to be a standard o</w:t>
      </w:r>
      <w:r>
        <w:rPr>
          <w:sz w:val="24"/>
        </w:rPr>
        <w:t>f the State of Tennessee or the federal government</w:t>
      </w:r>
      <w:r w:rsidR="007B70A8">
        <w:rPr>
          <w:sz w:val="24"/>
        </w:rPr>
        <w:t xml:space="preserve">.  No reference in this </w:t>
      </w:r>
      <w:r>
        <w:rPr>
          <w:sz w:val="24"/>
        </w:rPr>
        <w:t>manual</w:t>
      </w:r>
      <w:r w:rsidR="007B70A8">
        <w:rPr>
          <w:sz w:val="24"/>
        </w:rPr>
        <w:t xml:space="preserve"> to any specific method, product, process, or service constitutes or implies an endorsement or warranty by the University of Memp</w:t>
      </w:r>
      <w:r w:rsidR="0034643D">
        <w:rPr>
          <w:sz w:val="24"/>
        </w:rPr>
        <w:t>his,</w:t>
      </w:r>
      <w:r w:rsidR="003940C5">
        <w:rPr>
          <w:sz w:val="24"/>
        </w:rPr>
        <w:t xml:space="preserve"> the State of Tennessee,</w:t>
      </w:r>
      <w:r w:rsidR="0034643D">
        <w:rPr>
          <w:sz w:val="24"/>
        </w:rPr>
        <w:t xml:space="preserve"> the </w:t>
      </w:r>
      <w:r>
        <w:rPr>
          <w:sz w:val="24"/>
        </w:rPr>
        <w:t>U.S. Department of Energy (USDOE)</w:t>
      </w:r>
      <w:r w:rsidR="00A224BD">
        <w:rPr>
          <w:sz w:val="24"/>
        </w:rPr>
        <w:t>,</w:t>
      </w:r>
      <w:r w:rsidR="00E77CD1">
        <w:rPr>
          <w:sz w:val="24"/>
        </w:rPr>
        <w:t xml:space="preserve"> or the U.S. Environmental Protection Agency (USEPA)</w:t>
      </w:r>
      <w:r>
        <w:rPr>
          <w:sz w:val="24"/>
        </w:rPr>
        <w:t>.  This manual</w:t>
      </w:r>
      <w:r w:rsidR="007B70A8">
        <w:rPr>
          <w:sz w:val="24"/>
        </w:rPr>
        <w:t xml:space="preserve"> reflects the best judgment of the author, but the University of Memp</w:t>
      </w:r>
      <w:r w:rsidR="002B5351">
        <w:rPr>
          <w:sz w:val="24"/>
        </w:rPr>
        <w:t>his,</w:t>
      </w:r>
      <w:r w:rsidR="003940C5">
        <w:rPr>
          <w:sz w:val="24"/>
        </w:rPr>
        <w:t xml:space="preserve"> the State of Tennessee,</w:t>
      </w:r>
      <w:r w:rsidR="000C161B">
        <w:rPr>
          <w:sz w:val="24"/>
        </w:rPr>
        <w:t xml:space="preserve"> the USDOE</w:t>
      </w:r>
      <w:r w:rsidR="00E77CD1">
        <w:rPr>
          <w:sz w:val="24"/>
        </w:rPr>
        <w:t>, and the USEPA</w:t>
      </w:r>
      <w:r w:rsidR="007B70A8">
        <w:rPr>
          <w:sz w:val="24"/>
        </w:rPr>
        <w:t xml:space="preserve"> assume no liability for implementation of the information contained herein.  Anyone using this information assumes all liability arising from such use, including but not limited to infri</w:t>
      </w:r>
      <w:r w:rsidR="000D64D6">
        <w:rPr>
          <w:sz w:val="24"/>
        </w:rPr>
        <w:t>ngement of any patent or trademarks and c</w:t>
      </w:r>
      <w:r w:rsidR="008964C6">
        <w:rPr>
          <w:sz w:val="24"/>
        </w:rPr>
        <w:t>ompliance with applicable state</w:t>
      </w:r>
      <w:r w:rsidR="000D64D6">
        <w:rPr>
          <w:sz w:val="24"/>
        </w:rPr>
        <w:t xml:space="preserve"> and federal regulations</w:t>
      </w:r>
      <w:r w:rsidR="007B70A8">
        <w:rPr>
          <w:sz w:val="24"/>
        </w:rPr>
        <w:t>.</w:t>
      </w:r>
    </w:p>
    <w:p w14:paraId="13710717" w14:textId="77777777" w:rsidR="009D0464" w:rsidRDefault="009D0464"/>
    <w:p w14:paraId="7229AF8E" w14:textId="77777777" w:rsidR="007B70A8" w:rsidRDefault="007B70A8" w:rsidP="004669DD">
      <w:pPr>
        <w:spacing w:line="480" w:lineRule="auto"/>
      </w:pPr>
    </w:p>
    <w:p w14:paraId="4440CF40" w14:textId="77777777" w:rsidR="007B70A8" w:rsidRDefault="007B70A8"/>
    <w:p w14:paraId="055B9D0D" w14:textId="77777777" w:rsidR="00A224BD" w:rsidRDefault="00A224BD"/>
    <w:p w14:paraId="26A4A430" w14:textId="77777777" w:rsidR="00E90096" w:rsidRDefault="00E90096"/>
    <w:p w14:paraId="516D362C" w14:textId="77777777" w:rsidR="0054577E" w:rsidRDefault="0054577E"/>
    <w:p w14:paraId="65C41883" w14:textId="77777777" w:rsidR="0054577E" w:rsidRDefault="0054577E"/>
    <w:p w14:paraId="2EED5453" w14:textId="77777777" w:rsidR="0054577E" w:rsidRDefault="0054577E"/>
    <w:p w14:paraId="61C8BBDB" w14:textId="77777777" w:rsidR="0054577E" w:rsidRDefault="0054577E"/>
    <w:p w14:paraId="153B7C37" w14:textId="77777777" w:rsidR="007B70A8" w:rsidRPr="009902D5" w:rsidRDefault="009902D5" w:rsidP="009902D5">
      <w:pPr>
        <w:pStyle w:val="ListParagraph"/>
        <w:numPr>
          <w:ilvl w:val="0"/>
          <w:numId w:val="2"/>
        </w:numPr>
        <w:rPr>
          <w:b/>
        </w:rPr>
      </w:pPr>
      <w:r>
        <w:rPr>
          <w:b/>
        </w:rPr>
        <w:t>Introduction</w:t>
      </w:r>
    </w:p>
    <w:p w14:paraId="2618F4FE" w14:textId="77777777" w:rsidR="007B70A8" w:rsidRDefault="007B70A8"/>
    <w:p w14:paraId="49D8AC3D" w14:textId="54D2314C" w:rsidR="00A9311B" w:rsidRDefault="00A9311B" w:rsidP="00A9311B">
      <w:r>
        <w:t>The</w:t>
      </w:r>
      <w:r w:rsidR="00256786">
        <w:t xml:space="preserve"> Bio-Tiger</w:t>
      </w:r>
      <w:r>
        <w:t xml:space="preserve"> model is set up to provide the user an opportunity to evaluate the activated sludge process at existing conditions as well as at conditions defined for an alternate operating scenario. Typical alternate scenarios that may be evaluated include, but are not limited to, process design conditions, use of alternative aeration equipment, use of alternative operating dissolved oxygen (DO) concentrations in the reactor, impact of changes in influent loadings as a result of a new industry, impact of turning aerators off to achieve denitrification, and so on. </w:t>
      </w:r>
    </w:p>
    <w:p w14:paraId="385BE78A" w14:textId="1C712DD0" w:rsidR="00A9311B" w:rsidRDefault="00A9311B" w:rsidP="00A9311B"/>
    <w:p w14:paraId="435A416A" w14:textId="3C5D9D0E" w:rsidR="002A4BBC" w:rsidRDefault="00A9311B" w:rsidP="00A9311B">
      <w:r>
        <w:t xml:space="preserve">Using </w:t>
      </w:r>
      <w:r w:rsidR="00E81B89">
        <w:t>basic process data and equipment information, the model can help the user determine</w:t>
      </w:r>
      <w:r w:rsidR="0057030D">
        <w:t>, among other things</w:t>
      </w:r>
      <w:r w:rsidR="002A4BBC">
        <w:t>:</w:t>
      </w:r>
    </w:p>
    <w:p w14:paraId="1EBA2114" w14:textId="77777777" w:rsidR="00256786" w:rsidRDefault="00256786" w:rsidP="00A9311B"/>
    <w:p w14:paraId="38EC3ACC" w14:textId="77777777" w:rsidR="002A4BBC" w:rsidRDefault="002A4BBC" w:rsidP="00FA7AF6">
      <w:pPr>
        <w:pStyle w:val="ListParagraph"/>
        <w:numPr>
          <w:ilvl w:val="0"/>
          <w:numId w:val="5"/>
        </w:numPr>
      </w:pPr>
      <w:r>
        <w:t>The oxygen requirements of the biological process</w:t>
      </w:r>
    </w:p>
    <w:p w14:paraId="427C073F" w14:textId="2D5E35D7" w:rsidR="002A4BBC" w:rsidRDefault="002A4BBC" w:rsidP="00FA7AF6">
      <w:pPr>
        <w:pStyle w:val="ListParagraph"/>
        <w:numPr>
          <w:ilvl w:val="0"/>
          <w:numId w:val="5"/>
        </w:numPr>
      </w:pPr>
      <w:r>
        <w:t>The oxygen supplied by aeration equipment</w:t>
      </w:r>
    </w:p>
    <w:p w14:paraId="124434AD" w14:textId="6CBADDC3" w:rsidR="002A4BBC" w:rsidRDefault="002A4BBC" w:rsidP="00FA7AF6">
      <w:pPr>
        <w:pStyle w:val="ListParagraph"/>
        <w:numPr>
          <w:ilvl w:val="0"/>
          <w:numId w:val="5"/>
        </w:numPr>
      </w:pPr>
      <w:r>
        <w:t>The quantity and cost of energy consumed by the aeration equipment</w:t>
      </w:r>
    </w:p>
    <w:p w14:paraId="718C7B4E" w14:textId="320BCB14" w:rsidR="002A4BBC" w:rsidRDefault="002A4BBC" w:rsidP="00FA7AF6">
      <w:pPr>
        <w:pStyle w:val="ListParagraph"/>
        <w:numPr>
          <w:ilvl w:val="0"/>
          <w:numId w:val="5"/>
        </w:numPr>
      </w:pPr>
      <w:r>
        <w:t>Whether another operating strategy would allow the aeration system to meet the biol</w:t>
      </w:r>
      <w:r w:rsidR="0057030D">
        <w:t>ogical demands more efficiently</w:t>
      </w:r>
    </w:p>
    <w:p w14:paraId="3CF74A3F" w14:textId="2CC8E515" w:rsidR="00A9311B" w:rsidRDefault="00256786" w:rsidP="00FA7AF6">
      <w:pPr>
        <w:pStyle w:val="ListParagraph"/>
        <w:numPr>
          <w:ilvl w:val="0"/>
          <w:numId w:val="5"/>
        </w:numPr>
      </w:pPr>
      <w:r>
        <w:t>W</w:t>
      </w:r>
      <w:r w:rsidR="00E81B89">
        <w:t>hether an aeration system is being used to efficiently meet the oxygen demands of the biological process, an</w:t>
      </w:r>
      <w:r w:rsidR="002A4BBC">
        <w:t xml:space="preserve">d </w:t>
      </w:r>
      <w:r w:rsidR="0057030D">
        <w:t>if another operating scenario could produce cost savings</w:t>
      </w:r>
    </w:p>
    <w:p w14:paraId="47EDEF97" w14:textId="4FC70544" w:rsidR="00A9311B" w:rsidRDefault="00A9311B" w:rsidP="00A9311B"/>
    <w:p w14:paraId="2121E369" w14:textId="6F8BB633" w:rsidR="0057030D" w:rsidRDefault="00B2203E" w:rsidP="00A9311B">
      <w:r>
        <w:t>Because changes in the operational strategy for an activated sludge process could have significant impacts on plant performance and effluent quality, it may be</w:t>
      </w:r>
      <w:r w:rsidR="0057030D">
        <w:t xml:space="preserve"> advisable to seek input from</w:t>
      </w:r>
      <w:r>
        <w:t xml:space="preserve"> the city’s</w:t>
      </w:r>
      <w:r w:rsidR="0057030D">
        <w:t xml:space="preserve"> engineer</w:t>
      </w:r>
      <w:r>
        <w:t>. While the model provides very good information about activated sludge process performance when alternate operating strategies are being considered, having input from the city’s engineer prior to imple</w:t>
      </w:r>
      <w:r w:rsidR="00956650">
        <w:t xml:space="preserve">menting </w:t>
      </w:r>
      <w:r w:rsidR="002504DB">
        <w:t>process changes should</w:t>
      </w:r>
      <w:r>
        <w:t xml:space="preserve"> be very valuable. Moreover, it may be useful to</w:t>
      </w:r>
      <w:r w:rsidR="0057030D">
        <w:t xml:space="preserve"> alert</w:t>
      </w:r>
      <w:r w:rsidR="002504DB">
        <w:t xml:space="preserve"> appropriate</w:t>
      </w:r>
      <w:r>
        <w:t xml:space="preserve"> state</w:t>
      </w:r>
      <w:r w:rsidR="0057030D">
        <w:t xml:space="preserve"> regulatory agency</w:t>
      </w:r>
      <w:r w:rsidR="002504DB">
        <w:t xml:space="preserve"> personnel</w:t>
      </w:r>
      <w:r w:rsidR="0057030D">
        <w:t xml:space="preserve"> prior to making</w:t>
      </w:r>
      <w:r>
        <w:t xml:space="preserve"> changes to pr</w:t>
      </w:r>
      <w:r w:rsidR="002504DB">
        <w:t>ocess operations; their input should</w:t>
      </w:r>
      <w:r>
        <w:t xml:space="preserve"> also </w:t>
      </w:r>
      <w:r w:rsidR="002504DB">
        <w:t xml:space="preserve">be </w:t>
      </w:r>
      <w:r>
        <w:t>very valuable.</w:t>
      </w:r>
    </w:p>
    <w:p w14:paraId="64CC0695" w14:textId="77777777" w:rsidR="0057030D" w:rsidRDefault="0057030D" w:rsidP="00A9311B"/>
    <w:p w14:paraId="704A2977" w14:textId="3670946F" w:rsidR="00A9311B" w:rsidRDefault="00A9311B" w:rsidP="00A9311B">
      <w:r>
        <w:t>In most cases, it is best to use data based on at least 12 months of the specific activated sludge process histo</w:t>
      </w:r>
      <w:r w:rsidR="00A212F9">
        <w:t xml:space="preserve">rical information and </w:t>
      </w:r>
      <w:proofErr w:type="spellStart"/>
      <w:r>
        <w:t>biokinetic</w:t>
      </w:r>
      <w:proofErr w:type="spellEnd"/>
      <w:r>
        <w:t xml:space="preserve"> constant values suggested by Metcalf &amp; Eddy and/or by Dr. Moore.</w:t>
      </w:r>
      <w:r w:rsidR="00FC5DEA">
        <w:t xml:space="preserve"> If operational conditions vary significantly between seasons (because of tourism, academic schedules, operator discretion, etc.) to the extent that using annual averages is not practical, it is advisable to create a separate copy of the model for each set of seasonal conditions. </w:t>
      </w:r>
      <w:r>
        <w:t xml:space="preserve"> In general, the </w:t>
      </w:r>
      <w:proofErr w:type="spellStart"/>
      <w:r>
        <w:t>biokinetic</w:t>
      </w:r>
      <w:proofErr w:type="spellEnd"/>
      <w:r>
        <w:t xml:space="preserve"> constant values recommended by Dr. Moore are consistent with the values recommended by Metcalf &amp; Eddy. When the user uses other values, it is important to use </w:t>
      </w:r>
      <w:proofErr w:type="spellStart"/>
      <w:r>
        <w:t>biokinetic</w:t>
      </w:r>
      <w:proofErr w:type="spellEnd"/>
      <w:r>
        <w:t xml:space="preserve"> constant values that are within recommended ranges. However, if one </w:t>
      </w:r>
      <w:r>
        <w:lastRenderedPageBreak/>
        <w:t xml:space="preserve">uses the model to evaluate an activated sludge process for industrial wastewater, it may be desirable to use values outside the recommended ranges. The user just needs to be very careful in selecting the appropriate </w:t>
      </w:r>
      <w:proofErr w:type="spellStart"/>
      <w:r>
        <w:t>biokinetic</w:t>
      </w:r>
      <w:proofErr w:type="spellEnd"/>
      <w:r>
        <w:t xml:space="preserve"> constant values.</w:t>
      </w:r>
    </w:p>
    <w:p w14:paraId="679820D0" w14:textId="77777777" w:rsidR="00A9311B" w:rsidRDefault="00A9311B" w:rsidP="002040AA"/>
    <w:p w14:paraId="267B71CB" w14:textId="5E04575B" w:rsidR="0047662F" w:rsidRDefault="000C161B" w:rsidP="002040AA">
      <w:r>
        <w:t xml:space="preserve">The Bio-Tiger Model is based on </w:t>
      </w:r>
      <w:proofErr w:type="spellStart"/>
      <w:r>
        <w:t>biokinetic</w:t>
      </w:r>
      <w:proofErr w:type="spellEnd"/>
      <w:r>
        <w:t xml:space="preserve"> equations that are given in the book, </w:t>
      </w:r>
      <w:r>
        <w:rPr>
          <w:u w:val="single"/>
        </w:rPr>
        <w:t>Wastewater Engineering Treatment and Reuse</w:t>
      </w:r>
      <w:r>
        <w:t xml:space="preserve"> (4</w:t>
      </w:r>
      <w:r w:rsidRPr="000C161B">
        <w:rPr>
          <w:vertAlign w:val="superscript"/>
        </w:rPr>
        <w:t>th</w:t>
      </w:r>
      <w:r>
        <w:t xml:space="preserve"> edition, 2003) by Metcalf &amp; Eddy. These equations are based on Monod kinetics and mass balances around the activated sludge process or around the reactor of the activated sludge process. Some assumptions of the model are:</w:t>
      </w:r>
    </w:p>
    <w:p w14:paraId="68C93117" w14:textId="77777777" w:rsidR="000C161B" w:rsidRDefault="000C161B" w:rsidP="002040AA"/>
    <w:p w14:paraId="096D2FFA" w14:textId="77777777" w:rsidR="000C161B" w:rsidRDefault="000C161B" w:rsidP="000C161B">
      <w:pPr>
        <w:pStyle w:val="ListParagraph"/>
        <w:numPr>
          <w:ilvl w:val="0"/>
          <w:numId w:val="4"/>
        </w:numPr>
      </w:pPr>
      <w:r>
        <w:t>No reactions in the secondary clarifier</w:t>
      </w:r>
    </w:p>
    <w:p w14:paraId="3CD63D85" w14:textId="77777777" w:rsidR="000C161B" w:rsidRDefault="000C161B" w:rsidP="000C161B">
      <w:pPr>
        <w:pStyle w:val="ListParagraph"/>
        <w:numPr>
          <w:ilvl w:val="0"/>
          <w:numId w:val="4"/>
        </w:numPr>
      </w:pPr>
      <w:r>
        <w:t>No reactions in the sludge recycle line</w:t>
      </w:r>
    </w:p>
    <w:p w14:paraId="0202FDE6" w14:textId="77777777" w:rsidR="000C161B" w:rsidRDefault="000C161B" w:rsidP="000C161B">
      <w:pPr>
        <w:pStyle w:val="ListParagraph"/>
        <w:numPr>
          <w:ilvl w:val="0"/>
          <w:numId w:val="4"/>
        </w:numPr>
      </w:pPr>
      <w:r>
        <w:t>Biomass in the influent is negligible</w:t>
      </w:r>
    </w:p>
    <w:p w14:paraId="47D30738" w14:textId="77777777" w:rsidR="000C161B" w:rsidRDefault="000C161B" w:rsidP="000C161B">
      <w:pPr>
        <w:pStyle w:val="ListParagraph"/>
        <w:numPr>
          <w:ilvl w:val="0"/>
          <w:numId w:val="4"/>
        </w:numPr>
      </w:pPr>
      <w:r>
        <w:t>Steady state conditions</w:t>
      </w:r>
    </w:p>
    <w:p w14:paraId="05C8BEB3" w14:textId="77777777" w:rsidR="000C161B" w:rsidRDefault="000C161B" w:rsidP="000C161B">
      <w:pPr>
        <w:pStyle w:val="ListParagraph"/>
        <w:numPr>
          <w:ilvl w:val="0"/>
          <w:numId w:val="4"/>
        </w:numPr>
      </w:pPr>
      <w:r>
        <w:t>Completely mixed reactor</w:t>
      </w:r>
    </w:p>
    <w:p w14:paraId="01488ADC" w14:textId="77777777" w:rsidR="000C161B" w:rsidRDefault="000C161B" w:rsidP="000C161B">
      <w:pPr>
        <w:pStyle w:val="ListParagraph"/>
        <w:numPr>
          <w:ilvl w:val="0"/>
          <w:numId w:val="4"/>
        </w:numPr>
      </w:pPr>
      <w:r>
        <w:t>Influent substrate concentration</w:t>
      </w:r>
      <w:r w:rsidR="00D82C82">
        <w:t xml:space="preserve"> (BOD5)</w:t>
      </w:r>
      <w:r>
        <w:t xml:space="preserve"> is</w:t>
      </w:r>
      <w:r w:rsidR="00D82C82">
        <w:t xml:space="preserve"> primarily</w:t>
      </w:r>
      <w:r>
        <w:t xml:space="preserve"> in soluble form</w:t>
      </w:r>
    </w:p>
    <w:p w14:paraId="5703C561" w14:textId="77777777" w:rsidR="00FF10B1" w:rsidRDefault="00FF10B1" w:rsidP="000C161B">
      <w:pPr>
        <w:pStyle w:val="ListParagraph"/>
        <w:numPr>
          <w:ilvl w:val="0"/>
          <w:numId w:val="4"/>
        </w:numPr>
      </w:pPr>
      <w:r>
        <w:t>No accumulation of biomass in the secondary clarifier</w:t>
      </w:r>
    </w:p>
    <w:p w14:paraId="46B80191" w14:textId="77777777" w:rsidR="00FF10B1" w:rsidRDefault="00FF10B1" w:rsidP="00FF10B1"/>
    <w:p w14:paraId="1C20E920" w14:textId="77777777" w:rsidR="00FF10B1" w:rsidRPr="000C161B" w:rsidRDefault="00FF10B1" w:rsidP="00FF10B1">
      <w:r>
        <w:t xml:space="preserve">The equations used in the Bio-Tiger model are protected – that is, the user does not have access to the equations and cannot change or manipulate the equations. Dr. Moore has spent a considerable amount of time over the last few years making sure that the equations are accurate and representative of the activated sludge process. Moreover, it is incumbent on the user to make sure he or she provides accurate data for the activated sludge process being evaluated. Influent wastewater flow rate, influent wastewater characteristics, reactor volume, solids concentrations (MLSS, RAS TSS, effluent TSS), and </w:t>
      </w:r>
      <w:proofErr w:type="spellStart"/>
      <w:r>
        <w:t>biokinetic</w:t>
      </w:r>
      <w:proofErr w:type="spellEnd"/>
      <w:r>
        <w:t xml:space="preserve"> constants must be accurate</w:t>
      </w:r>
      <w:r w:rsidR="00A867E2">
        <w:t>ly defined</w:t>
      </w:r>
      <w:r>
        <w:t xml:space="preserve"> to produce meaningful results using the Bio-Tiger model.</w:t>
      </w:r>
    </w:p>
    <w:p w14:paraId="359C351C" w14:textId="77777777" w:rsidR="000C161B" w:rsidRDefault="000C161B" w:rsidP="002040AA"/>
    <w:p w14:paraId="183336C4" w14:textId="77777777" w:rsidR="007B64DF" w:rsidRDefault="007B64DF" w:rsidP="002040AA"/>
    <w:p w14:paraId="6CDBBA3D" w14:textId="77777777" w:rsidR="0054577E" w:rsidRDefault="0054577E" w:rsidP="002040AA"/>
    <w:p w14:paraId="4484B5C3" w14:textId="77777777" w:rsidR="0054577E" w:rsidRDefault="0054577E" w:rsidP="002040AA"/>
    <w:p w14:paraId="323DE091" w14:textId="77777777" w:rsidR="0054577E" w:rsidRDefault="0054577E" w:rsidP="002040AA"/>
    <w:p w14:paraId="0ADCF5A4" w14:textId="77777777" w:rsidR="0054577E" w:rsidRDefault="0054577E" w:rsidP="002040AA"/>
    <w:p w14:paraId="59C85BAF" w14:textId="77777777" w:rsidR="0054577E" w:rsidRDefault="0054577E" w:rsidP="002040AA"/>
    <w:p w14:paraId="767230DF" w14:textId="77777777" w:rsidR="0054577E" w:rsidRDefault="0054577E" w:rsidP="002040AA"/>
    <w:p w14:paraId="15C9D539" w14:textId="77777777" w:rsidR="0054577E" w:rsidRDefault="0054577E" w:rsidP="002040AA"/>
    <w:p w14:paraId="7B05A912" w14:textId="77777777" w:rsidR="0054577E" w:rsidRDefault="0054577E" w:rsidP="002040AA"/>
    <w:p w14:paraId="23340EAD" w14:textId="77777777" w:rsidR="0054577E" w:rsidRDefault="0054577E" w:rsidP="002040AA"/>
    <w:p w14:paraId="1F23D57F" w14:textId="77777777" w:rsidR="0054577E" w:rsidRDefault="0054577E" w:rsidP="002040AA"/>
    <w:p w14:paraId="3CC22A06" w14:textId="77777777" w:rsidR="0054577E" w:rsidRDefault="0054577E" w:rsidP="002040AA"/>
    <w:p w14:paraId="7FD30D8E" w14:textId="77777777" w:rsidR="0054577E" w:rsidRDefault="0054577E" w:rsidP="002040AA"/>
    <w:p w14:paraId="7FC8ACB4" w14:textId="77777777" w:rsidR="007B64DF" w:rsidRPr="00876A39" w:rsidRDefault="007B64DF" w:rsidP="002040AA"/>
    <w:p w14:paraId="50967BBD" w14:textId="77777777" w:rsidR="00A867E2" w:rsidRPr="00A867E2" w:rsidRDefault="00A867E2" w:rsidP="00A867E2">
      <w:pPr>
        <w:pStyle w:val="ListParagraph"/>
        <w:numPr>
          <w:ilvl w:val="0"/>
          <w:numId w:val="2"/>
        </w:numPr>
        <w:rPr>
          <w:b/>
        </w:rPr>
      </w:pPr>
      <w:r>
        <w:rPr>
          <w:b/>
        </w:rPr>
        <w:lastRenderedPageBreak/>
        <w:t>Bio-Tiger Model Activated Sludge Input Data</w:t>
      </w:r>
    </w:p>
    <w:p w14:paraId="3815CF5D" w14:textId="77777777" w:rsidR="009B24B6" w:rsidRDefault="009B24B6"/>
    <w:p w14:paraId="37C0E420" w14:textId="6DAD024F" w:rsidR="005C5446" w:rsidRDefault="008E1A2D" w:rsidP="00CB3C92">
      <w:r>
        <w:t>An example of t</w:t>
      </w:r>
      <w:r w:rsidR="00A867E2">
        <w:t>he activated sl</w:t>
      </w:r>
      <w:r w:rsidR="000767B6">
        <w:t>u</w:t>
      </w:r>
      <w:r w:rsidR="000826F8">
        <w:t>dge input data for the model is</w:t>
      </w:r>
      <w:r w:rsidR="00A867E2">
        <w:t xml:space="preserve"> provided below:</w:t>
      </w:r>
    </w:p>
    <w:p w14:paraId="7DFC6215" w14:textId="77777777" w:rsidR="00A867E2" w:rsidRDefault="00A867E2" w:rsidP="00CB3C92"/>
    <w:p w14:paraId="61C27C72" w14:textId="77777777" w:rsidR="00214B4F" w:rsidRDefault="00214B4F" w:rsidP="00CB3C92"/>
    <w:tbl>
      <w:tblPr>
        <w:tblW w:w="4880" w:type="dxa"/>
        <w:jc w:val="center"/>
        <w:tblLook w:val="04A0" w:firstRow="1" w:lastRow="0" w:firstColumn="1" w:lastColumn="0" w:noHBand="0" w:noVBand="1"/>
      </w:tblPr>
      <w:tblGrid>
        <w:gridCol w:w="3854"/>
        <w:gridCol w:w="1026"/>
      </w:tblGrid>
      <w:tr w:rsidR="00A867E2" w:rsidRPr="00A867E2" w14:paraId="33B4B892" w14:textId="77777777" w:rsidTr="00A867E2">
        <w:trPr>
          <w:trHeight w:val="799"/>
          <w:jc w:val="center"/>
        </w:trPr>
        <w:tc>
          <w:tcPr>
            <w:tcW w:w="4880" w:type="dxa"/>
            <w:gridSpan w:val="2"/>
            <w:tcBorders>
              <w:top w:val="double" w:sz="6" w:space="0" w:color="auto"/>
              <w:left w:val="double" w:sz="6" w:space="0" w:color="auto"/>
              <w:bottom w:val="single" w:sz="8" w:space="0" w:color="auto"/>
              <w:right w:val="double" w:sz="6" w:space="0" w:color="000000"/>
            </w:tcBorders>
            <w:shd w:val="clear" w:color="000000" w:fill="2F75B5"/>
            <w:noWrap/>
            <w:vAlign w:val="center"/>
            <w:hideMark/>
          </w:tcPr>
          <w:p w14:paraId="564BC440" w14:textId="77777777" w:rsidR="00A867E2" w:rsidRPr="00A867E2" w:rsidRDefault="00A867E2" w:rsidP="00A867E2">
            <w:pPr>
              <w:spacing w:line="240" w:lineRule="auto"/>
              <w:jc w:val="center"/>
              <w:rPr>
                <w:rFonts w:ascii="Calibri" w:eastAsia="Times New Roman" w:hAnsi="Calibri"/>
                <w:b/>
                <w:bCs/>
                <w:color w:val="FFFFFF"/>
              </w:rPr>
            </w:pPr>
            <w:r w:rsidRPr="00A867E2">
              <w:rPr>
                <w:rFonts w:ascii="Calibri" w:eastAsia="Times New Roman" w:hAnsi="Calibri"/>
                <w:b/>
                <w:bCs/>
                <w:color w:val="FFFFFF"/>
              </w:rPr>
              <w:t>Activated Sludge Input Data</w:t>
            </w:r>
          </w:p>
        </w:tc>
      </w:tr>
      <w:tr w:rsidR="00A867E2" w:rsidRPr="00A867E2" w14:paraId="7924E1C4" w14:textId="77777777" w:rsidTr="00A867E2">
        <w:trPr>
          <w:trHeight w:val="402"/>
          <w:jc w:val="center"/>
        </w:trPr>
        <w:tc>
          <w:tcPr>
            <w:tcW w:w="3854" w:type="dxa"/>
            <w:tcBorders>
              <w:top w:val="nil"/>
              <w:left w:val="double" w:sz="6" w:space="0" w:color="auto"/>
              <w:bottom w:val="single" w:sz="4" w:space="0" w:color="auto"/>
              <w:right w:val="single" w:sz="4" w:space="0" w:color="auto"/>
            </w:tcBorders>
            <w:shd w:val="clear" w:color="000000" w:fill="9BC2E6"/>
            <w:noWrap/>
            <w:vAlign w:val="center"/>
            <w:hideMark/>
          </w:tcPr>
          <w:p w14:paraId="37199367" w14:textId="77777777" w:rsidR="00A867E2" w:rsidRPr="00A867E2" w:rsidRDefault="00A867E2" w:rsidP="00A867E2">
            <w:pPr>
              <w:spacing w:line="240" w:lineRule="auto"/>
              <w:jc w:val="center"/>
              <w:rPr>
                <w:rFonts w:ascii="Calibri" w:eastAsia="Times New Roman" w:hAnsi="Calibri"/>
                <w:sz w:val="22"/>
                <w:szCs w:val="22"/>
              </w:rPr>
            </w:pPr>
            <w:r w:rsidRPr="00A867E2">
              <w:rPr>
                <w:rFonts w:ascii="Calibri" w:eastAsia="Times New Roman" w:hAnsi="Calibri"/>
                <w:sz w:val="22"/>
                <w:szCs w:val="22"/>
              </w:rPr>
              <w:t>Temperature (°C)</w:t>
            </w:r>
          </w:p>
        </w:tc>
        <w:tc>
          <w:tcPr>
            <w:tcW w:w="1026" w:type="dxa"/>
            <w:tcBorders>
              <w:top w:val="nil"/>
              <w:left w:val="nil"/>
              <w:bottom w:val="single" w:sz="4" w:space="0" w:color="auto"/>
              <w:right w:val="double" w:sz="6" w:space="0" w:color="auto"/>
            </w:tcBorders>
            <w:shd w:val="clear" w:color="000000" w:fill="DDEBF7"/>
            <w:noWrap/>
            <w:vAlign w:val="center"/>
            <w:hideMark/>
          </w:tcPr>
          <w:p w14:paraId="6B38B281" w14:textId="77777777" w:rsidR="00A867E2" w:rsidRPr="00A867E2" w:rsidRDefault="00A867E2" w:rsidP="00A867E2">
            <w:pPr>
              <w:spacing w:line="240" w:lineRule="auto"/>
              <w:jc w:val="center"/>
              <w:rPr>
                <w:rFonts w:ascii="Calibri" w:eastAsia="Times New Roman" w:hAnsi="Calibri"/>
                <w:b/>
                <w:bCs/>
                <w:sz w:val="22"/>
                <w:szCs w:val="22"/>
              </w:rPr>
            </w:pPr>
            <w:r w:rsidRPr="00A867E2">
              <w:rPr>
                <w:rFonts w:ascii="Calibri" w:eastAsia="Times New Roman" w:hAnsi="Calibri"/>
                <w:b/>
                <w:bCs/>
                <w:sz w:val="22"/>
                <w:szCs w:val="22"/>
              </w:rPr>
              <w:t>20</w:t>
            </w:r>
          </w:p>
        </w:tc>
      </w:tr>
      <w:tr w:rsidR="00A867E2" w:rsidRPr="00A867E2" w14:paraId="18A2DF86" w14:textId="77777777" w:rsidTr="00A867E2">
        <w:trPr>
          <w:trHeight w:val="402"/>
          <w:jc w:val="center"/>
        </w:trPr>
        <w:tc>
          <w:tcPr>
            <w:tcW w:w="3854" w:type="dxa"/>
            <w:tcBorders>
              <w:top w:val="nil"/>
              <w:left w:val="double" w:sz="6" w:space="0" w:color="auto"/>
              <w:bottom w:val="single" w:sz="4" w:space="0" w:color="auto"/>
              <w:right w:val="single" w:sz="4" w:space="0" w:color="auto"/>
            </w:tcBorders>
            <w:shd w:val="clear" w:color="000000" w:fill="9BC2E6"/>
            <w:noWrap/>
            <w:vAlign w:val="center"/>
            <w:hideMark/>
          </w:tcPr>
          <w:p w14:paraId="16F6136B" w14:textId="77777777" w:rsidR="00A867E2" w:rsidRPr="00A867E2" w:rsidRDefault="00A867E2" w:rsidP="00A867E2">
            <w:pPr>
              <w:spacing w:line="240" w:lineRule="auto"/>
              <w:jc w:val="center"/>
              <w:rPr>
                <w:rFonts w:ascii="Calibri" w:eastAsia="Times New Roman" w:hAnsi="Calibri"/>
                <w:sz w:val="22"/>
                <w:szCs w:val="22"/>
              </w:rPr>
            </w:pPr>
            <w:r w:rsidRPr="00A867E2">
              <w:rPr>
                <w:rFonts w:ascii="Calibri" w:eastAsia="Times New Roman" w:hAnsi="Calibri"/>
                <w:sz w:val="22"/>
                <w:szCs w:val="22"/>
              </w:rPr>
              <w:t>S</w:t>
            </w:r>
            <w:r w:rsidRPr="00A867E2">
              <w:rPr>
                <w:rFonts w:ascii="Calibri" w:eastAsia="Times New Roman" w:hAnsi="Calibri"/>
                <w:sz w:val="28"/>
                <w:szCs w:val="28"/>
                <w:vertAlign w:val="subscript"/>
              </w:rPr>
              <w:t>o</w:t>
            </w:r>
            <w:r w:rsidRPr="00A867E2">
              <w:rPr>
                <w:rFonts w:ascii="Calibri" w:eastAsia="Times New Roman" w:hAnsi="Calibri"/>
                <w:sz w:val="22"/>
                <w:szCs w:val="22"/>
              </w:rPr>
              <w:t xml:space="preserve"> (mg/L)</w:t>
            </w:r>
          </w:p>
        </w:tc>
        <w:tc>
          <w:tcPr>
            <w:tcW w:w="1026" w:type="dxa"/>
            <w:tcBorders>
              <w:top w:val="nil"/>
              <w:left w:val="nil"/>
              <w:bottom w:val="single" w:sz="4" w:space="0" w:color="auto"/>
              <w:right w:val="double" w:sz="6" w:space="0" w:color="auto"/>
            </w:tcBorders>
            <w:shd w:val="clear" w:color="000000" w:fill="DDEBF7"/>
            <w:noWrap/>
            <w:vAlign w:val="center"/>
            <w:hideMark/>
          </w:tcPr>
          <w:p w14:paraId="7953A30B" w14:textId="77777777" w:rsidR="00A867E2" w:rsidRPr="00A867E2" w:rsidRDefault="00A867E2" w:rsidP="00A867E2">
            <w:pPr>
              <w:spacing w:line="240" w:lineRule="auto"/>
              <w:jc w:val="center"/>
              <w:rPr>
                <w:rFonts w:ascii="Calibri" w:eastAsia="Times New Roman" w:hAnsi="Calibri"/>
                <w:b/>
                <w:bCs/>
                <w:sz w:val="22"/>
                <w:szCs w:val="22"/>
              </w:rPr>
            </w:pPr>
            <w:r w:rsidRPr="00A867E2">
              <w:rPr>
                <w:rFonts w:ascii="Calibri" w:eastAsia="Times New Roman" w:hAnsi="Calibri"/>
                <w:b/>
                <w:bCs/>
                <w:sz w:val="22"/>
                <w:szCs w:val="22"/>
              </w:rPr>
              <w:t>142</w:t>
            </w:r>
          </w:p>
        </w:tc>
      </w:tr>
      <w:tr w:rsidR="00A867E2" w:rsidRPr="00A867E2" w14:paraId="05FEEFAB" w14:textId="77777777" w:rsidTr="00A867E2">
        <w:trPr>
          <w:trHeight w:val="402"/>
          <w:jc w:val="center"/>
        </w:trPr>
        <w:tc>
          <w:tcPr>
            <w:tcW w:w="3854" w:type="dxa"/>
            <w:tcBorders>
              <w:top w:val="nil"/>
              <w:left w:val="double" w:sz="6" w:space="0" w:color="auto"/>
              <w:bottom w:val="single" w:sz="4" w:space="0" w:color="auto"/>
              <w:right w:val="single" w:sz="4" w:space="0" w:color="auto"/>
            </w:tcBorders>
            <w:shd w:val="clear" w:color="000000" w:fill="9BC2E6"/>
            <w:noWrap/>
            <w:vAlign w:val="center"/>
            <w:hideMark/>
          </w:tcPr>
          <w:p w14:paraId="3B65DB57" w14:textId="77777777" w:rsidR="00A867E2" w:rsidRPr="00A867E2" w:rsidRDefault="00A867E2" w:rsidP="00A867E2">
            <w:pPr>
              <w:spacing w:line="240" w:lineRule="auto"/>
              <w:jc w:val="center"/>
              <w:rPr>
                <w:rFonts w:ascii="Calibri" w:eastAsia="Times New Roman" w:hAnsi="Calibri"/>
                <w:sz w:val="22"/>
                <w:szCs w:val="22"/>
              </w:rPr>
            </w:pPr>
            <w:r w:rsidRPr="00A867E2">
              <w:rPr>
                <w:rFonts w:ascii="Calibri" w:eastAsia="Times New Roman" w:hAnsi="Calibri"/>
                <w:sz w:val="22"/>
                <w:szCs w:val="22"/>
              </w:rPr>
              <w:t>V (mil gal)</w:t>
            </w:r>
          </w:p>
        </w:tc>
        <w:tc>
          <w:tcPr>
            <w:tcW w:w="1026" w:type="dxa"/>
            <w:tcBorders>
              <w:top w:val="nil"/>
              <w:left w:val="nil"/>
              <w:bottom w:val="single" w:sz="4" w:space="0" w:color="auto"/>
              <w:right w:val="double" w:sz="6" w:space="0" w:color="auto"/>
            </w:tcBorders>
            <w:shd w:val="clear" w:color="000000" w:fill="DDEBF7"/>
            <w:noWrap/>
            <w:vAlign w:val="center"/>
            <w:hideMark/>
          </w:tcPr>
          <w:p w14:paraId="4D9C7345" w14:textId="77777777" w:rsidR="00A867E2" w:rsidRPr="00A867E2" w:rsidRDefault="00A867E2" w:rsidP="00A867E2">
            <w:pPr>
              <w:spacing w:line="240" w:lineRule="auto"/>
              <w:jc w:val="center"/>
              <w:rPr>
                <w:rFonts w:ascii="Calibri" w:eastAsia="Times New Roman" w:hAnsi="Calibri"/>
                <w:b/>
                <w:bCs/>
                <w:sz w:val="22"/>
                <w:szCs w:val="22"/>
              </w:rPr>
            </w:pPr>
            <w:r w:rsidRPr="00A867E2">
              <w:rPr>
                <w:rFonts w:ascii="Calibri" w:eastAsia="Times New Roman" w:hAnsi="Calibri"/>
                <w:b/>
                <w:bCs/>
                <w:sz w:val="22"/>
                <w:szCs w:val="22"/>
              </w:rPr>
              <w:t>0.98</w:t>
            </w:r>
          </w:p>
        </w:tc>
      </w:tr>
      <w:tr w:rsidR="00A867E2" w:rsidRPr="00A867E2" w14:paraId="6F42DCD3" w14:textId="77777777" w:rsidTr="00A867E2">
        <w:trPr>
          <w:trHeight w:val="402"/>
          <w:jc w:val="center"/>
        </w:trPr>
        <w:tc>
          <w:tcPr>
            <w:tcW w:w="3854" w:type="dxa"/>
            <w:tcBorders>
              <w:top w:val="nil"/>
              <w:left w:val="double" w:sz="6" w:space="0" w:color="auto"/>
              <w:bottom w:val="single" w:sz="4" w:space="0" w:color="auto"/>
              <w:right w:val="single" w:sz="4" w:space="0" w:color="auto"/>
            </w:tcBorders>
            <w:shd w:val="clear" w:color="000000" w:fill="9BC2E6"/>
            <w:noWrap/>
            <w:vAlign w:val="center"/>
            <w:hideMark/>
          </w:tcPr>
          <w:p w14:paraId="203D1F2E" w14:textId="77777777" w:rsidR="00A867E2" w:rsidRPr="00A867E2" w:rsidRDefault="00A867E2" w:rsidP="00A867E2">
            <w:pPr>
              <w:spacing w:line="240" w:lineRule="auto"/>
              <w:jc w:val="center"/>
              <w:rPr>
                <w:rFonts w:ascii="Calibri" w:eastAsia="Times New Roman" w:hAnsi="Calibri"/>
                <w:sz w:val="22"/>
                <w:szCs w:val="22"/>
              </w:rPr>
            </w:pPr>
            <w:r w:rsidRPr="00A867E2">
              <w:rPr>
                <w:rFonts w:ascii="Calibri" w:eastAsia="Times New Roman" w:hAnsi="Calibri"/>
                <w:sz w:val="22"/>
                <w:szCs w:val="22"/>
              </w:rPr>
              <w:t xml:space="preserve"> Q (</w:t>
            </w:r>
            <w:proofErr w:type="spellStart"/>
            <w:r w:rsidRPr="00A867E2">
              <w:rPr>
                <w:rFonts w:ascii="Calibri" w:eastAsia="Times New Roman" w:hAnsi="Calibri"/>
                <w:sz w:val="22"/>
                <w:szCs w:val="22"/>
              </w:rPr>
              <w:t>mgd</w:t>
            </w:r>
            <w:proofErr w:type="spellEnd"/>
            <w:r w:rsidRPr="00A867E2">
              <w:rPr>
                <w:rFonts w:ascii="Calibri" w:eastAsia="Times New Roman" w:hAnsi="Calibri"/>
                <w:sz w:val="22"/>
                <w:szCs w:val="22"/>
              </w:rPr>
              <w:t>)</w:t>
            </w:r>
          </w:p>
        </w:tc>
        <w:tc>
          <w:tcPr>
            <w:tcW w:w="1026" w:type="dxa"/>
            <w:tcBorders>
              <w:top w:val="nil"/>
              <w:left w:val="nil"/>
              <w:bottom w:val="single" w:sz="4" w:space="0" w:color="auto"/>
              <w:right w:val="double" w:sz="6" w:space="0" w:color="auto"/>
            </w:tcBorders>
            <w:shd w:val="clear" w:color="000000" w:fill="DDEBF7"/>
            <w:noWrap/>
            <w:vAlign w:val="center"/>
            <w:hideMark/>
          </w:tcPr>
          <w:p w14:paraId="63E1FA0E" w14:textId="77777777" w:rsidR="00A867E2" w:rsidRPr="00A867E2" w:rsidRDefault="00A867E2" w:rsidP="00A867E2">
            <w:pPr>
              <w:spacing w:line="240" w:lineRule="auto"/>
              <w:jc w:val="center"/>
              <w:rPr>
                <w:rFonts w:ascii="Calibri" w:eastAsia="Times New Roman" w:hAnsi="Calibri"/>
                <w:b/>
                <w:bCs/>
                <w:sz w:val="22"/>
                <w:szCs w:val="22"/>
              </w:rPr>
            </w:pPr>
            <w:r w:rsidRPr="00A867E2">
              <w:rPr>
                <w:rFonts w:ascii="Calibri" w:eastAsia="Times New Roman" w:hAnsi="Calibri"/>
                <w:b/>
                <w:bCs/>
                <w:sz w:val="22"/>
                <w:szCs w:val="22"/>
              </w:rPr>
              <w:t>2.85</w:t>
            </w:r>
          </w:p>
        </w:tc>
      </w:tr>
      <w:tr w:rsidR="00A867E2" w:rsidRPr="00A867E2" w14:paraId="33C60CDC" w14:textId="77777777" w:rsidTr="00A867E2">
        <w:trPr>
          <w:trHeight w:val="402"/>
          <w:jc w:val="center"/>
        </w:trPr>
        <w:tc>
          <w:tcPr>
            <w:tcW w:w="3854" w:type="dxa"/>
            <w:tcBorders>
              <w:top w:val="nil"/>
              <w:left w:val="double" w:sz="6" w:space="0" w:color="auto"/>
              <w:bottom w:val="single" w:sz="4" w:space="0" w:color="auto"/>
              <w:right w:val="single" w:sz="4" w:space="0" w:color="auto"/>
            </w:tcBorders>
            <w:shd w:val="clear" w:color="000000" w:fill="9BC2E6"/>
            <w:noWrap/>
            <w:vAlign w:val="center"/>
            <w:hideMark/>
          </w:tcPr>
          <w:p w14:paraId="731E8083" w14:textId="77777777" w:rsidR="00A867E2" w:rsidRPr="00A867E2" w:rsidRDefault="00A867E2" w:rsidP="00A867E2">
            <w:pPr>
              <w:spacing w:line="240" w:lineRule="auto"/>
              <w:jc w:val="center"/>
              <w:rPr>
                <w:rFonts w:ascii="Calibri" w:eastAsia="Times New Roman" w:hAnsi="Calibri"/>
                <w:sz w:val="22"/>
                <w:szCs w:val="22"/>
              </w:rPr>
            </w:pPr>
            <w:r w:rsidRPr="00A867E2">
              <w:rPr>
                <w:rFonts w:ascii="Calibri" w:eastAsia="Times New Roman" w:hAnsi="Calibri"/>
                <w:sz w:val="22"/>
                <w:szCs w:val="22"/>
              </w:rPr>
              <w:t>Inert VSS (mg/L)</w:t>
            </w:r>
          </w:p>
        </w:tc>
        <w:tc>
          <w:tcPr>
            <w:tcW w:w="1026" w:type="dxa"/>
            <w:tcBorders>
              <w:top w:val="nil"/>
              <w:left w:val="nil"/>
              <w:bottom w:val="single" w:sz="4" w:space="0" w:color="auto"/>
              <w:right w:val="double" w:sz="6" w:space="0" w:color="auto"/>
            </w:tcBorders>
            <w:shd w:val="clear" w:color="000000" w:fill="DDEBF7"/>
            <w:noWrap/>
            <w:vAlign w:val="center"/>
            <w:hideMark/>
          </w:tcPr>
          <w:p w14:paraId="74351726" w14:textId="77777777" w:rsidR="00A867E2" w:rsidRPr="00A867E2" w:rsidRDefault="00A867E2" w:rsidP="00A867E2">
            <w:pPr>
              <w:spacing w:line="240" w:lineRule="auto"/>
              <w:jc w:val="center"/>
              <w:rPr>
                <w:rFonts w:ascii="Calibri" w:eastAsia="Times New Roman" w:hAnsi="Calibri"/>
                <w:b/>
                <w:bCs/>
                <w:sz w:val="22"/>
                <w:szCs w:val="22"/>
              </w:rPr>
            </w:pPr>
            <w:r w:rsidRPr="00A867E2">
              <w:rPr>
                <w:rFonts w:ascii="Calibri" w:eastAsia="Times New Roman" w:hAnsi="Calibri"/>
                <w:b/>
                <w:bCs/>
                <w:sz w:val="22"/>
                <w:szCs w:val="22"/>
              </w:rPr>
              <w:t>40</w:t>
            </w:r>
          </w:p>
        </w:tc>
      </w:tr>
      <w:tr w:rsidR="00A867E2" w:rsidRPr="00A867E2" w14:paraId="4B88D620" w14:textId="77777777" w:rsidTr="00A867E2">
        <w:trPr>
          <w:trHeight w:val="402"/>
          <w:jc w:val="center"/>
        </w:trPr>
        <w:tc>
          <w:tcPr>
            <w:tcW w:w="3854" w:type="dxa"/>
            <w:tcBorders>
              <w:top w:val="nil"/>
              <w:left w:val="double" w:sz="6" w:space="0" w:color="auto"/>
              <w:bottom w:val="single" w:sz="4" w:space="0" w:color="auto"/>
              <w:right w:val="single" w:sz="4" w:space="0" w:color="auto"/>
            </w:tcBorders>
            <w:shd w:val="clear" w:color="000000" w:fill="9BC2E6"/>
            <w:noWrap/>
            <w:vAlign w:val="center"/>
            <w:hideMark/>
          </w:tcPr>
          <w:p w14:paraId="4FE817BB" w14:textId="77777777" w:rsidR="00A867E2" w:rsidRPr="00A867E2" w:rsidRDefault="00A867E2" w:rsidP="00A867E2">
            <w:pPr>
              <w:spacing w:line="240" w:lineRule="auto"/>
              <w:jc w:val="center"/>
              <w:rPr>
                <w:rFonts w:ascii="Calibri" w:eastAsia="Times New Roman" w:hAnsi="Calibri"/>
                <w:sz w:val="22"/>
                <w:szCs w:val="22"/>
              </w:rPr>
            </w:pPr>
            <w:proofErr w:type="spellStart"/>
            <w:r w:rsidRPr="00A867E2">
              <w:rPr>
                <w:rFonts w:ascii="Calibri" w:eastAsia="Times New Roman" w:hAnsi="Calibri"/>
                <w:sz w:val="22"/>
                <w:szCs w:val="22"/>
              </w:rPr>
              <w:t>Oxidizable</w:t>
            </w:r>
            <w:proofErr w:type="spellEnd"/>
            <w:r w:rsidRPr="00A867E2">
              <w:rPr>
                <w:rFonts w:ascii="Calibri" w:eastAsia="Times New Roman" w:hAnsi="Calibri"/>
                <w:sz w:val="22"/>
                <w:szCs w:val="22"/>
              </w:rPr>
              <w:t xml:space="preserve"> N (mg/L)</w:t>
            </w:r>
          </w:p>
        </w:tc>
        <w:tc>
          <w:tcPr>
            <w:tcW w:w="1026" w:type="dxa"/>
            <w:tcBorders>
              <w:top w:val="nil"/>
              <w:left w:val="nil"/>
              <w:bottom w:val="single" w:sz="4" w:space="0" w:color="auto"/>
              <w:right w:val="double" w:sz="6" w:space="0" w:color="auto"/>
            </w:tcBorders>
            <w:shd w:val="clear" w:color="000000" w:fill="DDEBF7"/>
            <w:noWrap/>
            <w:vAlign w:val="center"/>
            <w:hideMark/>
          </w:tcPr>
          <w:p w14:paraId="15E34989" w14:textId="77777777" w:rsidR="00A867E2" w:rsidRPr="00A867E2" w:rsidRDefault="00A867E2" w:rsidP="00A867E2">
            <w:pPr>
              <w:spacing w:line="240" w:lineRule="auto"/>
              <w:jc w:val="center"/>
              <w:rPr>
                <w:rFonts w:ascii="Calibri" w:eastAsia="Times New Roman" w:hAnsi="Calibri"/>
                <w:b/>
                <w:bCs/>
                <w:sz w:val="22"/>
                <w:szCs w:val="22"/>
              </w:rPr>
            </w:pPr>
            <w:r w:rsidRPr="00A867E2">
              <w:rPr>
                <w:rFonts w:ascii="Calibri" w:eastAsia="Times New Roman" w:hAnsi="Calibri"/>
                <w:b/>
                <w:bCs/>
                <w:sz w:val="22"/>
                <w:szCs w:val="22"/>
              </w:rPr>
              <w:t>25</w:t>
            </w:r>
          </w:p>
        </w:tc>
      </w:tr>
      <w:tr w:rsidR="00A867E2" w:rsidRPr="00A867E2" w14:paraId="5102B00A" w14:textId="77777777" w:rsidTr="00A867E2">
        <w:trPr>
          <w:trHeight w:val="402"/>
          <w:jc w:val="center"/>
        </w:trPr>
        <w:tc>
          <w:tcPr>
            <w:tcW w:w="3854" w:type="dxa"/>
            <w:tcBorders>
              <w:top w:val="nil"/>
              <w:left w:val="double" w:sz="6" w:space="0" w:color="auto"/>
              <w:bottom w:val="single" w:sz="4" w:space="0" w:color="auto"/>
              <w:right w:val="single" w:sz="4" w:space="0" w:color="auto"/>
            </w:tcBorders>
            <w:shd w:val="clear" w:color="000000" w:fill="9BC2E6"/>
            <w:noWrap/>
            <w:vAlign w:val="center"/>
            <w:hideMark/>
          </w:tcPr>
          <w:p w14:paraId="5B8B5CCB" w14:textId="77777777" w:rsidR="00A867E2" w:rsidRPr="00A867E2" w:rsidRDefault="00A867E2" w:rsidP="00A867E2">
            <w:pPr>
              <w:spacing w:line="240" w:lineRule="auto"/>
              <w:jc w:val="center"/>
              <w:rPr>
                <w:rFonts w:ascii="Calibri" w:eastAsia="Times New Roman" w:hAnsi="Calibri"/>
                <w:sz w:val="22"/>
                <w:szCs w:val="22"/>
              </w:rPr>
            </w:pPr>
            <w:r w:rsidRPr="00A867E2">
              <w:rPr>
                <w:rFonts w:ascii="Calibri" w:eastAsia="Times New Roman" w:hAnsi="Calibri"/>
                <w:sz w:val="22"/>
                <w:szCs w:val="22"/>
              </w:rPr>
              <w:t>biomass (VSS/TSS)</w:t>
            </w:r>
          </w:p>
        </w:tc>
        <w:tc>
          <w:tcPr>
            <w:tcW w:w="1026" w:type="dxa"/>
            <w:tcBorders>
              <w:top w:val="nil"/>
              <w:left w:val="nil"/>
              <w:bottom w:val="single" w:sz="4" w:space="0" w:color="auto"/>
              <w:right w:val="double" w:sz="6" w:space="0" w:color="auto"/>
            </w:tcBorders>
            <w:shd w:val="clear" w:color="000000" w:fill="DDEBF7"/>
            <w:noWrap/>
            <w:vAlign w:val="center"/>
            <w:hideMark/>
          </w:tcPr>
          <w:p w14:paraId="0C73C96A" w14:textId="77777777" w:rsidR="00A867E2" w:rsidRPr="00A867E2" w:rsidRDefault="00A867E2" w:rsidP="00A867E2">
            <w:pPr>
              <w:spacing w:line="240" w:lineRule="auto"/>
              <w:jc w:val="center"/>
              <w:rPr>
                <w:rFonts w:ascii="Calibri" w:eastAsia="Times New Roman" w:hAnsi="Calibri"/>
                <w:b/>
                <w:bCs/>
                <w:sz w:val="22"/>
                <w:szCs w:val="22"/>
              </w:rPr>
            </w:pPr>
            <w:r w:rsidRPr="00A867E2">
              <w:rPr>
                <w:rFonts w:ascii="Calibri" w:eastAsia="Times New Roman" w:hAnsi="Calibri"/>
                <w:b/>
                <w:bCs/>
                <w:sz w:val="22"/>
                <w:szCs w:val="22"/>
              </w:rPr>
              <w:t>0.85</w:t>
            </w:r>
          </w:p>
        </w:tc>
      </w:tr>
      <w:tr w:rsidR="00A867E2" w:rsidRPr="00A867E2" w14:paraId="20C72BA7" w14:textId="77777777" w:rsidTr="00A867E2">
        <w:trPr>
          <w:trHeight w:val="402"/>
          <w:jc w:val="center"/>
        </w:trPr>
        <w:tc>
          <w:tcPr>
            <w:tcW w:w="3854" w:type="dxa"/>
            <w:tcBorders>
              <w:top w:val="nil"/>
              <w:left w:val="double" w:sz="6" w:space="0" w:color="auto"/>
              <w:bottom w:val="single" w:sz="4" w:space="0" w:color="auto"/>
              <w:right w:val="single" w:sz="4" w:space="0" w:color="auto"/>
            </w:tcBorders>
            <w:shd w:val="clear" w:color="000000" w:fill="9BC2E6"/>
            <w:noWrap/>
            <w:vAlign w:val="center"/>
            <w:hideMark/>
          </w:tcPr>
          <w:p w14:paraId="6F2842E0" w14:textId="77777777" w:rsidR="00A867E2" w:rsidRPr="00A867E2" w:rsidRDefault="00A867E2" w:rsidP="00A867E2">
            <w:pPr>
              <w:spacing w:line="240" w:lineRule="auto"/>
              <w:jc w:val="center"/>
              <w:rPr>
                <w:rFonts w:ascii="Calibri" w:eastAsia="Times New Roman" w:hAnsi="Calibri"/>
                <w:sz w:val="22"/>
                <w:szCs w:val="22"/>
              </w:rPr>
            </w:pPr>
            <w:r w:rsidRPr="00A867E2">
              <w:rPr>
                <w:rFonts w:ascii="Calibri" w:eastAsia="Times New Roman" w:hAnsi="Calibri"/>
                <w:sz w:val="22"/>
                <w:szCs w:val="22"/>
              </w:rPr>
              <w:t>Influent TSS (mg/L)</w:t>
            </w:r>
          </w:p>
        </w:tc>
        <w:tc>
          <w:tcPr>
            <w:tcW w:w="1026" w:type="dxa"/>
            <w:tcBorders>
              <w:top w:val="nil"/>
              <w:left w:val="nil"/>
              <w:bottom w:val="single" w:sz="4" w:space="0" w:color="auto"/>
              <w:right w:val="double" w:sz="6" w:space="0" w:color="auto"/>
            </w:tcBorders>
            <w:shd w:val="clear" w:color="000000" w:fill="DDEBF7"/>
            <w:noWrap/>
            <w:vAlign w:val="center"/>
            <w:hideMark/>
          </w:tcPr>
          <w:p w14:paraId="769A8402" w14:textId="77777777" w:rsidR="00A867E2" w:rsidRPr="00A867E2" w:rsidRDefault="00A867E2" w:rsidP="00A867E2">
            <w:pPr>
              <w:spacing w:line="240" w:lineRule="auto"/>
              <w:jc w:val="center"/>
              <w:rPr>
                <w:rFonts w:ascii="Calibri" w:eastAsia="Times New Roman" w:hAnsi="Calibri"/>
                <w:b/>
                <w:bCs/>
                <w:sz w:val="22"/>
                <w:szCs w:val="22"/>
              </w:rPr>
            </w:pPr>
            <w:r w:rsidRPr="00A867E2">
              <w:rPr>
                <w:rFonts w:ascii="Calibri" w:eastAsia="Times New Roman" w:hAnsi="Calibri"/>
                <w:b/>
                <w:bCs/>
                <w:sz w:val="22"/>
                <w:szCs w:val="22"/>
              </w:rPr>
              <w:t>214</w:t>
            </w:r>
          </w:p>
        </w:tc>
      </w:tr>
      <w:tr w:rsidR="00A867E2" w:rsidRPr="00A867E2" w14:paraId="1692E08E" w14:textId="77777777" w:rsidTr="00A867E2">
        <w:trPr>
          <w:trHeight w:val="402"/>
          <w:jc w:val="center"/>
        </w:trPr>
        <w:tc>
          <w:tcPr>
            <w:tcW w:w="3854" w:type="dxa"/>
            <w:tcBorders>
              <w:top w:val="nil"/>
              <w:left w:val="double" w:sz="6" w:space="0" w:color="auto"/>
              <w:bottom w:val="single" w:sz="4" w:space="0" w:color="auto"/>
              <w:right w:val="single" w:sz="4" w:space="0" w:color="auto"/>
            </w:tcBorders>
            <w:shd w:val="clear" w:color="000000" w:fill="9BC2E6"/>
            <w:noWrap/>
            <w:vAlign w:val="center"/>
            <w:hideMark/>
          </w:tcPr>
          <w:p w14:paraId="13E260F0" w14:textId="77777777" w:rsidR="00A867E2" w:rsidRPr="00A867E2" w:rsidRDefault="00792BE9" w:rsidP="00A867E2">
            <w:pPr>
              <w:spacing w:line="240" w:lineRule="auto"/>
              <w:jc w:val="center"/>
              <w:rPr>
                <w:rFonts w:ascii="Calibri" w:eastAsia="Times New Roman" w:hAnsi="Calibri"/>
                <w:sz w:val="22"/>
                <w:szCs w:val="22"/>
              </w:rPr>
            </w:pPr>
            <w:r>
              <w:rPr>
                <w:rFonts w:ascii="Calibri" w:eastAsia="Times New Roman" w:hAnsi="Calibri"/>
                <w:sz w:val="22"/>
                <w:szCs w:val="22"/>
              </w:rPr>
              <w:t xml:space="preserve">Inert </w:t>
            </w:r>
            <w:r w:rsidR="00A867E2" w:rsidRPr="00A867E2">
              <w:rPr>
                <w:rFonts w:ascii="Calibri" w:eastAsia="Times New Roman" w:hAnsi="Calibri"/>
                <w:sz w:val="22"/>
                <w:szCs w:val="22"/>
              </w:rPr>
              <w:t>Inorg</w:t>
            </w:r>
            <w:r>
              <w:rPr>
                <w:rFonts w:ascii="Calibri" w:eastAsia="Times New Roman" w:hAnsi="Calibri"/>
                <w:sz w:val="22"/>
                <w:szCs w:val="22"/>
              </w:rPr>
              <w:t>anic</w:t>
            </w:r>
            <w:r w:rsidR="00A867E2" w:rsidRPr="00A867E2">
              <w:rPr>
                <w:rFonts w:ascii="Calibri" w:eastAsia="Times New Roman" w:hAnsi="Calibri"/>
                <w:sz w:val="22"/>
                <w:szCs w:val="22"/>
              </w:rPr>
              <w:t xml:space="preserve"> TSS (mg/L)</w:t>
            </w:r>
          </w:p>
        </w:tc>
        <w:tc>
          <w:tcPr>
            <w:tcW w:w="1026" w:type="dxa"/>
            <w:tcBorders>
              <w:top w:val="nil"/>
              <w:left w:val="nil"/>
              <w:bottom w:val="single" w:sz="4" w:space="0" w:color="auto"/>
              <w:right w:val="double" w:sz="6" w:space="0" w:color="auto"/>
            </w:tcBorders>
            <w:shd w:val="clear" w:color="000000" w:fill="DDEBF7"/>
            <w:noWrap/>
            <w:vAlign w:val="center"/>
            <w:hideMark/>
          </w:tcPr>
          <w:p w14:paraId="6EADA4A9" w14:textId="77777777" w:rsidR="00A867E2" w:rsidRPr="00A867E2" w:rsidRDefault="00A867E2" w:rsidP="00A867E2">
            <w:pPr>
              <w:spacing w:line="240" w:lineRule="auto"/>
              <w:jc w:val="center"/>
              <w:rPr>
                <w:rFonts w:ascii="Calibri" w:eastAsia="Times New Roman" w:hAnsi="Calibri"/>
                <w:b/>
                <w:bCs/>
                <w:sz w:val="22"/>
                <w:szCs w:val="22"/>
              </w:rPr>
            </w:pPr>
            <w:r w:rsidRPr="00A867E2">
              <w:rPr>
                <w:rFonts w:ascii="Calibri" w:eastAsia="Times New Roman" w:hAnsi="Calibri"/>
                <w:b/>
                <w:bCs/>
                <w:sz w:val="22"/>
                <w:szCs w:val="22"/>
              </w:rPr>
              <w:t>20</w:t>
            </w:r>
          </w:p>
        </w:tc>
      </w:tr>
      <w:tr w:rsidR="00A867E2" w:rsidRPr="00A867E2" w14:paraId="5357406B" w14:textId="77777777" w:rsidTr="00A867E2">
        <w:trPr>
          <w:trHeight w:val="402"/>
          <w:jc w:val="center"/>
        </w:trPr>
        <w:tc>
          <w:tcPr>
            <w:tcW w:w="3854" w:type="dxa"/>
            <w:tcBorders>
              <w:top w:val="nil"/>
              <w:left w:val="double" w:sz="6" w:space="0" w:color="auto"/>
              <w:bottom w:val="single" w:sz="4" w:space="0" w:color="auto"/>
              <w:right w:val="single" w:sz="4" w:space="0" w:color="auto"/>
            </w:tcBorders>
            <w:shd w:val="clear" w:color="000000" w:fill="9BC2E6"/>
            <w:noWrap/>
            <w:vAlign w:val="center"/>
            <w:hideMark/>
          </w:tcPr>
          <w:p w14:paraId="1BBD767D" w14:textId="77777777" w:rsidR="00A867E2" w:rsidRPr="00A867E2" w:rsidRDefault="00A867E2" w:rsidP="00A867E2">
            <w:pPr>
              <w:spacing w:line="240" w:lineRule="auto"/>
              <w:jc w:val="center"/>
              <w:rPr>
                <w:rFonts w:ascii="Calibri" w:eastAsia="Times New Roman" w:hAnsi="Calibri"/>
                <w:sz w:val="22"/>
                <w:szCs w:val="22"/>
              </w:rPr>
            </w:pPr>
            <w:r w:rsidRPr="00A867E2">
              <w:rPr>
                <w:rFonts w:ascii="Calibri" w:eastAsia="Times New Roman" w:hAnsi="Calibri"/>
                <w:sz w:val="22"/>
                <w:szCs w:val="22"/>
              </w:rPr>
              <w:t>Effluent TSS (mg/L)</w:t>
            </w:r>
          </w:p>
        </w:tc>
        <w:tc>
          <w:tcPr>
            <w:tcW w:w="1026" w:type="dxa"/>
            <w:tcBorders>
              <w:top w:val="nil"/>
              <w:left w:val="nil"/>
              <w:bottom w:val="single" w:sz="4" w:space="0" w:color="auto"/>
              <w:right w:val="double" w:sz="6" w:space="0" w:color="auto"/>
            </w:tcBorders>
            <w:shd w:val="clear" w:color="000000" w:fill="DDEBF7"/>
            <w:noWrap/>
            <w:vAlign w:val="center"/>
            <w:hideMark/>
          </w:tcPr>
          <w:p w14:paraId="4E775727" w14:textId="77777777" w:rsidR="00A867E2" w:rsidRPr="00A867E2" w:rsidRDefault="00A867E2" w:rsidP="00A867E2">
            <w:pPr>
              <w:spacing w:line="240" w:lineRule="auto"/>
              <w:jc w:val="center"/>
              <w:rPr>
                <w:rFonts w:ascii="Calibri" w:eastAsia="Times New Roman" w:hAnsi="Calibri"/>
                <w:b/>
                <w:bCs/>
                <w:sz w:val="22"/>
                <w:szCs w:val="22"/>
              </w:rPr>
            </w:pPr>
            <w:r w:rsidRPr="00A867E2">
              <w:rPr>
                <w:rFonts w:ascii="Calibri" w:eastAsia="Times New Roman" w:hAnsi="Calibri"/>
                <w:b/>
                <w:bCs/>
                <w:sz w:val="22"/>
                <w:szCs w:val="22"/>
              </w:rPr>
              <w:t>5</w:t>
            </w:r>
          </w:p>
        </w:tc>
      </w:tr>
      <w:tr w:rsidR="00A867E2" w:rsidRPr="00A867E2" w14:paraId="119CAA94" w14:textId="77777777" w:rsidTr="00A867E2">
        <w:trPr>
          <w:trHeight w:val="402"/>
          <w:jc w:val="center"/>
        </w:trPr>
        <w:tc>
          <w:tcPr>
            <w:tcW w:w="3854" w:type="dxa"/>
            <w:tcBorders>
              <w:top w:val="nil"/>
              <w:left w:val="double" w:sz="6" w:space="0" w:color="auto"/>
              <w:bottom w:val="single" w:sz="4" w:space="0" w:color="auto"/>
              <w:right w:val="single" w:sz="4" w:space="0" w:color="auto"/>
            </w:tcBorders>
            <w:shd w:val="clear" w:color="000000" w:fill="9BC2E6"/>
            <w:noWrap/>
            <w:vAlign w:val="center"/>
            <w:hideMark/>
          </w:tcPr>
          <w:p w14:paraId="554F2D20" w14:textId="77777777" w:rsidR="00A867E2" w:rsidRPr="00A867E2" w:rsidRDefault="00A867E2" w:rsidP="00A867E2">
            <w:pPr>
              <w:spacing w:line="240" w:lineRule="auto"/>
              <w:jc w:val="center"/>
              <w:rPr>
                <w:rFonts w:ascii="Calibri" w:eastAsia="Times New Roman" w:hAnsi="Calibri"/>
                <w:sz w:val="22"/>
                <w:szCs w:val="22"/>
              </w:rPr>
            </w:pPr>
            <w:r w:rsidRPr="00A867E2">
              <w:rPr>
                <w:rFonts w:ascii="Calibri" w:eastAsia="Times New Roman" w:hAnsi="Calibri"/>
                <w:sz w:val="22"/>
                <w:szCs w:val="22"/>
              </w:rPr>
              <w:t>RAS TSS (mg/L)</w:t>
            </w:r>
          </w:p>
        </w:tc>
        <w:tc>
          <w:tcPr>
            <w:tcW w:w="1026" w:type="dxa"/>
            <w:tcBorders>
              <w:top w:val="nil"/>
              <w:left w:val="nil"/>
              <w:bottom w:val="single" w:sz="4" w:space="0" w:color="auto"/>
              <w:right w:val="double" w:sz="6" w:space="0" w:color="auto"/>
            </w:tcBorders>
            <w:shd w:val="clear" w:color="000000" w:fill="DDEBF7"/>
            <w:noWrap/>
            <w:vAlign w:val="center"/>
            <w:hideMark/>
          </w:tcPr>
          <w:p w14:paraId="5982FFD0" w14:textId="77777777" w:rsidR="00A867E2" w:rsidRPr="00A867E2" w:rsidRDefault="00A867E2" w:rsidP="00A867E2">
            <w:pPr>
              <w:spacing w:line="240" w:lineRule="auto"/>
              <w:jc w:val="center"/>
              <w:rPr>
                <w:rFonts w:ascii="Calibri" w:eastAsia="Times New Roman" w:hAnsi="Calibri"/>
                <w:b/>
                <w:bCs/>
                <w:sz w:val="22"/>
                <w:szCs w:val="22"/>
              </w:rPr>
            </w:pPr>
            <w:r w:rsidRPr="00A867E2">
              <w:rPr>
                <w:rFonts w:ascii="Calibri" w:eastAsia="Times New Roman" w:hAnsi="Calibri"/>
                <w:b/>
                <w:bCs/>
                <w:sz w:val="22"/>
                <w:szCs w:val="22"/>
              </w:rPr>
              <w:t>9300</w:t>
            </w:r>
          </w:p>
        </w:tc>
      </w:tr>
      <w:tr w:rsidR="00A867E2" w:rsidRPr="00A867E2" w14:paraId="1257137F" w14:textId="77777777" w:rsidTr="00A867E2">
        <w:trPr>
          <w:trHeight w:val="402"/>
          <w:jc w:val="center"/>
        </w:trPr>
        <w:tc>
          <w:tcPr>
            <w:tcW w:w="3854" w:type="dxa"/>
            <w:tcBorders>
              <w:top w:val="nil"/>
              <w:left w:val="double" w:sz="6" w:space="0" w:color="auto"/>
              <w:bottom w:val="single" w:sz="8" w:space="0" w:color="auto"/>
              <w:right w:val="single" w:sz="4" w:space="0" w:color="auto"/>
            </w:tcBorders>
            <w:shd w:val="clear" w:color="000000" w:fill="9BC2E6"/>
            <w:noWrap/>
            <w:vAlign w:val="center"/>
            <w:hideMark/>
          </w:tcPr>
          <w:p w14:paraId="4248A557" w14:textId="77777777" w:rsidR="00A867E2" w:rsidRPr="00A867E2" w:rsidRDefault="00A867E2" w:rsidP="00A867E2">
            <w:pPr>
              <w:spacing w:line="240" w:lineRule="auto"/>
              <w:jc w:val="center"/>
              <w:rPr>
                <w:rFonts w:ascii="Calibri" w:eastAsia="Times New Roman" w:hAnsi="Calibri"/>
                <w:sz w:val="22"/>
                <w:szCs w:val="22"/>
              </w:rPr>
            </w:pPr>
            <w:r w:rsidRPr="00A867E2">
              <w:rPr>
                <w:rFonts w:ascii="Calibri" w:eastAsia="Times New Roman" w:hAnsi="Calibri"/>
                <w:sz w:val="22"/>
                <w:szCs w:val="22"/>
              </w:rPr>
              <w:t>MLSS (mg/L)</w:t>
            </w:r>
          </w:p>
        </w:tc>
        <w:tc>
          <w:tcPr>
            <w:tcW w:w="1026" w:type="dxa"/>
            <w:tcBorders>
              <w:top w:val="nil"/>
              <w:left w:val="nil"/>
              <w:bottom w:val="single" w:sz="8" w:space="0" w:color="auto"/>
              <w:right w:val="double" w:sz="6" w:space="0" w:color="auto"/>
            </w:tcBorders>
            <w:shd w:val="clear" w:color="000000" w:fill="DDEBF7"/>
            <w:noWrap/>
            <w:vAlign w:val="center"/>
            <w:hideMark/>
          </w:tcPr>
          <w:p w14:paraId="77FBCF92" w14:textId="77777777" w:rsidR="00A867E2" w:rsidRPr="00A867E2" w:rsidRDefault="00A867E2" w:rsidP="00A867E2">
            <w:pPr>
              <w:spacing w:line="240" w:lineRule="auto"/>
              <w:jc w:val="center"/>
              <w:rPr>
                <w:rFonts w:ascii="Calibri" w:eastAsia="Times New Roman" w:hAnsi="Calibri"/>
                <w:b/>
                <w:bCs/>
                <w:sz w:val="22"/>
                <w:szCs w:val="22"/>
              </w:rPr>
            </w:pPr>
            <w:r w:rsidRPr="00A867E2">
              <w:rPr>
                <w:rFonts w:ascii="Calibri" w:eastAsia="Times New Roman" w:hAnsi="Calibri"/>
                <w:b/>
                <w:bCs/>
                <w:sz w:val="22"/>
                <w:szCs w:val="22"/>
              </w:rPr>
              <w:t>3800</w:t>
            </w:r>
          </w:p>
        </w:tc>
      </w:tr>
      <w:tr w:rsidR="00A867E2" w:rsidRPr="00A867E2" w14:paraId="1E1658AD" w14:textId="77777777" w:rsidTr="00A867E2">
        <w:trPr>
          <w:trHeight w:val="402"/>
          <w:jc w:val="center"/>
        </w:trPr>
        <w:tc>
          <w:tcPr>
            <w:tcW w:w="3854" w:type="dxa"/>
            <w:tcBorders>
              <w:top w:val="nil"/>
              <w:left w:val="double" w:sz="6" w:space="0" w:color="auto"/>
              <w:bottom w:val="single" w:sz="4" w:space="0" w:color="auto"/>
              <w:right w:val="single" w:sz="4" w:space="0" w:color="auto"/>
            </w:tcBorders>
            <w:shd w:val="clear" w:color="000000" w:fill="9BC2E6"/>
            <w:noWrap/>
            <w:vAlign w:val="center"/>
            <w:hideMark/>
          </w:tcPr>
          <w:p w14:paraId="3193A191" w14:textId="77777777" w:rsidR="00A867E2" w:rsidRPr="00A867E2" w:rsidRDefault="00A867E2" w:rsidP="00A867E2">
            <w:pPr>
              <w:spacing w:line="240" w:lineRule="auto"/>
              <w:jc w:val="center"/>
              <w:rPr>
                <w:rFonts w:ascii="Calibri" w:eastAsia="Times New Roman" w:hAnsi="Calibri"/>
                <w:b/>
                <w:bCs/>
                <w:color w:val="C00000"/>
                <w:sz w:val="22"/>
                <w:szCs w:val="22"/>
              </w:rPr>
            </w:pPr>
            <w:proofErr w:type="spellStart"/>
            <w:r w:rsidRPr="00A867E2">
              <w:rPr>
                <w:rFonts w:ascii="Calibri" w:eastAsia="Times New Roman" w:hAnsi="Calibri"/>
                <w:b/>
                <w:bCs/>
                <w:color w:val="C00000"/>
                <w:sz w:val="22"/>
                <w:szCs w:val="22"/>
              </w:rPr>
              <w:t>f</w:t>
            </w:r>
            <w:r w:rsidRPr="00A867E2">
              <w:rPr>
                <w:rFonts w:ascii="Calibri" w:eastAsia="Times New Roman" w:hAnsi="Calibri"/>
                <w:b/>
                <w:bCs/>
                <w:color w:val="C00000"/>
                <w:sz w:val="28"/>
                <w:szCs w:val="28"/>
                <w:vertAlign w:val="subscript"/>
              </w:rPr>
              <w:t>d</w:t>
            </w:r>
            <w:proofErr w:type="spellEnd"/>
          </w:p>
        </w:tc>
        <w:tc>
          <w:tcPr>
            <w:tcW w:w="1026" w:type="dxa"/>
            <w:tcBorders>
              <w:top w:val="nil"/>
              <w:left w:val="nil"/>
              <w:bottom w:val="single" w:sz="4" w:space="0" w:color="auto"/>
              <w:right w:val="double" w:sz="6" w:space="0" w:color="auto"/>
            </w:tcBorders>
            <w:shd w:val="clear" w:color="000000" w:fill="DDEBF7"/>
            <w:noWrap/>
            <w:vAlign w:val="center"/>
            <w:hideMark/>
          </w:tcPr>
          <w:p w14:paraId="07A9F485" w14:textId="77777777" w:rsidR="00A867E2" w:rsidRPr="00A867E2" w:rsidRDefault="00A867E2" w:rsidP="00A867E2">
            <w:pPr>
              <w:spacing w:line="240" w:lineRule="auto"/>
              <w:jc w:val="center"/>
              <w:rPr>
                <w:rFonts w:ascii="Calibri" w:eastAsia="Times New Roman" w:hAnsi="Calibri"/>
                <w:b/>
                <w:bCs/>
                <w:color w:val="C00000"/>
                <w:sz w:val="22"/>
                <w:szCs w:val="22"/>
              </w:rPr>
            </w:pPr>
            <w:r w:rsidRPr="00A867E2">
              <w:rPr>
                <w:rFonts w:ascii="Calibri" w:eastAsia="Times New Roman" w:hAnsi="Calibri"/>
                <w:b/>
                <w:bCs/>
                <w:color w:val="C00000"/>
                <w:sz w:val="22"/>
                <w:szCs w:val="22"/>
              </w:rPr>
              <w:t>0.1</w:t>
            </w:r>
          </w:p>
        </w:tc>
      </w:tr>
      <w:tr w:rsidR="00A867E2" w:rsidRPr="00A867E2" w14:paraId="1C9323AA" w14:textId="77777777" w:rsidTr="00A867E2">
        <w:trPr>
          <w:trHeight w:val="402"/>
          <w:jc w:val="center"/>
        </w:trPr>
        <w:tc>
          <w:tcPr>
            <w:tcW w:w="3854" w:type="dxa"/>
            <w:tcBorders>
              <w:top w:val="nil"/>
              <w:left w:val="double" w:sz="6" w:space="0" w:color="auto"/>
              <w:bottom w:val="single" w:sz="4" w:space="0" w:color="auto"/>
              <w:right w:val="single" w:sz="4" w:space="0" w:color="auto"/>
            </w:tcBorders>
            <w:shd w:val="clear" w:color="000000" w:fill="9BC2E6"/>
            <w:noWrap/>
            <w:vAlign w:val="center"/>
            <w:hideMark/>
          </w:tcPr>
          <w:p w14:paraId="5A54ADD4" w14:textId="77777777" w:rsidR="00A867E2" w:rsidRPr="00A867E2" w:rsidRDefault="00A867E2" w:rsidP="00A867E2">
            <w:pPr>
              <w:spacing w:line="240" w:lineRule="auto"/>
              <w:jc w:val="center"/>
              <w:rPr>
                <w:rFonts w:ascii="Calibri" w:eastAsia="Times New Roman" w:hAnsi="Calibri"/>
                <w:b/>
                <w:bCs/>
                <w:color w:val="C00000"/>
                <w:sz w:val="22"/>
                <w:szCs w:val="22"/>
              </w:rPr>
            </w:pPr>
            <w:r w:rsidRPr="00A867E2">
              <w:rPr>
                <w:rFonts w:ascii="Calibri" w:eastAsia="Times New Roman" w:hAnsi="Calibri"/>
                <w:b/>
                <w:bCs/>
                <w:color w:val="C00000"/>
                <w:sz w:val="22"/>
                <w:szCs w:val="22"/>
              </w:rPr>
              <w:t>Y</w:t>
            </w:r>
          </w:p>
        </w:tc>
        <w:tc>
          <w:tcPr>
            <w:tcW w:w="1026" w:type="dxa"/>
            <w:tcBorders>
              <w:top w:val="nil"/>
              <w:left w:val="nil"/>
              <w:bottom w:val="single" w:sz="4" w:space="0" w:color="auto"/>
              <w:right w:val="double" w:sz="6" w:space="0" w:color="auto"/>
            </w:tcBorders>
            <w:shd w:val="clear" w:color="000000" w:fill="DDEBF7"/>
            <w:noWrap/>
            <w:vAlign w:val="center"/>
            <w:hideMark/>
          </w:tcPr>
          <w:p w14:paraId="7D9D74B4" w14:textId="77777777" w:rsidR="00A867E2" w:rsidRPr="00A867E2" w:rsidRDefault="00A867E2" w:rsidP="00A867E2">
            <w:pPr>
              <w:spacing w:line="240" w:lineRule="auto"/>
              <w:jc w:val="center"/>
              <w:rPr>
                <w:rFonts w:ascii="Calibri" w:eastAsia="Times New Roman" w:hAnsi="Calibri"/>
                <w:b/>
                <w:bCs/>
                <w:color w:val="C00000"/>
                <w:sz w:val="22"/>
                <w:szCs w:val="22"/>
              </w:rPr>
            </w:pPr>
            <w:r w:rsidRPr="00A867E2">
              <w:rPr>
                <w:rFonts w:ascii="Calibri" w:eastAsia="Times New Roman" w:hAnsi="Calibri"/>
                <w:b/>
                <w:bCs/>
                <w:color w:val="C00000"/>
                <w:sz w:val="22"/>
                <w:szCs w:val="22"/>
              </w:rPr>
              <w:t>0.6</w:t>
            </w:r>
          </w:p>
        </w:tc>
      </w:tr>
      <w:tr w:rsidR="00A867E2" w:rsidRPr="00A867E2" w14:paraId="6398EFFE" w14:textId="77777777" w:rsidTr="00A867E2">
        <w:trPr>
          <w:trHeight w:val="402"/>
          <w:jc w:val="center"/>
        </w:trPr>
        <w:tc>
          <w:tcPr>
            <w:tcW w:w="3854" w:type="dxa"/>
            <w:tcBorders>
              <w:top w:val="nil"/>
              <w:left w:val="double" w:sz="6" w:space="0" w:color="auto"/>
              <w:bottom w:val="single" w:sz="4" w:space="0" w:color="auto"/>
              <w:right w:val="single" w:sz="4" w:space="0" w:color="auto"/>
            </w:tcBorders>
            <w:shd w:val="clear" w:color="000000" w:fill="9BC2E6"/>
            <w:noWrap/>
            <w:vAlign w:val="bottom"/>
            <w:hideMark/>
          </w:tcPr>
          <w:p w14:paraId="53CBF76A" w14:textId="77777777" w:rsidR="00A867E2" w:rsidRPr="00A867E2" w:rsidRDefault="00A867E2" w:rsidP="00A867E2">
            <w:pPr>
              <w:spacing w:line="240" w:lineRule="auto"/>
              <w:jc w:val="center"/>
              <w:rPr>
                <w:rFonts w:ascii="Calibri" w:eastAsia="Times New Roman" w:hAnsi="Calibri"/>
                <w:b/>
                <w:bCs/>
                <w:color w:val="C00000"/>
                <w:sz w:val="22"/>
                <w:szCs w:val="22"/>
              </w:rPr>
            </w:pPr>
            <w:r w:rsidRPr="00A867E2">
              <w:rPr>
                <w:rFonts w:ascii="Calibri" w:eastAsia="Times New Roman" w:hAnsi="Calibri"/>
                <w:b/>
                <w:bCs/>
                <w:color w:val="C00000"/>
                <w:sz w:val="22"/>
                <w:szCs w:val="22"/>
              </w:rPr>
              <w:t>K</w:t>
            </w:r>
            <w:r w:rsidRPr="00A867E2">
              <w:rPr>
                <w:rFonts w:ascii="Calibri" w:eastAsia="Times New Roman" w:hAnsi="Calibri"/>
                <w:b/>
                <w:bCs/>
                <w:color w:val="C00000"/>
                <w:sz w:val="28"/>
                <w:szCs w:val="28"/>
                <w:vertAlign w:val="subscript"/>
              </w:rPr>
              <w:t xml:space="preserve">s </w:t>
            </w:r>
            <w:r w:rsidRPr="00A867E2">
              <w:rPr>
                <w:rFonts w:ascii="Calibri" w:eastAsia="Times New Roman" w:hAnsi="Calibri"/>
                <w:b/>
                <w:bCs/>
                <w:color w:val="C00000"/>
                <w:sz w:val="22"/>
                <w:szCs w:val="22"/>
              </w:rPr>
              <w:t>(mg/L)</w:t>
            </w:r>
          </w:p>
        </w:tc>
        <w:tc>
          <w:tcPr>
            <w:tcW w:w="1026" w:type="dxa"/>
            <w:tcBorders>
              <w:top w:val="nil"/>
              <w:left w:val="nil"/>
              <w:bottom w:val="single" w:sz="4" w:space="0" w:color="auto"/>
              <w:right w:val="double" w:sz="6" w:space="0" w:color="auto"/>
            </w:tcBorders>
            <w:shd w:val="clear" w:color="000000" w:fill="DDEBF7"/>
            <w:noWrap/>
            <w:vAlign w:val="center"/>
            <w:hideMark/>
          </w:tcPr>
          <w:p w14:paraId="52DF825C" w14:textId="77777777" w:rsidR="00A867E2" w:rsidRPr="00A867E2" w:rsidRDefault="00A867E2" w:rsidP="00A867E2">
            <w:pPr>
              <w:spacing w:line="240" w:lineRule="auto"/>
              <w:jc w:val="center"/>
              <w:rPr>
                <w:rFonts w:ascii="Calibri" w:eastAsia="Times New Roman" w:hAnsi="Calibri"/>
                <w:b/>
                <w:bCs/>
                <w:color w:val="C00000"/>
                <w:sz w:val="22"/>
                <w:szCs w:val="22"/>
              </w:rPr>
            </w:pPr>
            <w:r w:rsidRPr="00A867E2">
              <w:rPr>
                <w:rFonts w:ascii="Calibri" w:eastAsia="Times New Roman" w:hAnsi="Calibri"/>
                <w:b/>
                <w:bCs/>
                <w:color w:val="C00000"/>
                <w:sz w:val="22"/>
                <w:szCs w:val="22"/>
              </w:rPr>
              <w:t>60</w:t>
            </w:r>
          </w:p>
        </w:tc>
      </w:tr>
      <w:tr w:rsidR="00A867E2" w:rsidRPr="00A867E2" w14:paraId="6FC538AC" w14:textId="77777777" w:rsidTr="00A867E2">
        <w:trPr>
          <w:trHeight w:val="402"/>
          <w:jc w:val="center"/>
        </w:trPr>
        <w:tc>
          <w:tcPr>
            <w:tcW w:w="3854" w:type="dxa"/>
            <w:tcBorders>
              <w:top w:val="nil"/>
              <w:left w:val="double" w:sz="6" w:space="0" w:color="auto"/>
              <w:bottom w:val="single" w:sz="4" w:space="0" w:color="auto"/>
              <w:right w:val="single" w:sz="4" w:space="0" w:color="auto"/>
            </w:tcBorders>
            <w:shd w:val="clear" w:color="000000" w:fill="9BC2E6"/>
            <w:noWrap/>
            <w:vAlign w:val="center"/>
            <w:hideMark/>
          </w:tcPr>
          <w:p w14:paraId="7D3BC4AD" w14:textId="77777777" w:rsidR="00A867E2" w:rsidRPr="00A867E2" w:rsidRDefault="00A867E2" w:rsidP="00A867E2">
            <w:pPr>
              <w:spacing w:line="240" w:lineRule="auto"/>
              <w:jc w:val="center"/>
              <w:rPr>
                <w:rFonts w:ascii="Calibri" w:eastAsia="Times New Roman" w:hAnsi="Calibri"/>
                <w:b/>
                <w:bCs/>
                <w:color w:val="C00000"/>
                <w:sz w:val="22"/>
                <w:szCs w:val="22"/>
              </w:rPr>
            </w:pPr>
            <w:proofErr w:type="spellStart"/>
            <w:r w:rsidRPr="00A867E2">
              <w:rPr>
                <w:rFonts w:ascii="Calibri" w:eastAsia="Times New Roman" w:hAnsi="Calibri"/>
                <w:b/>
                <w:bCs/>
                <w:color w:val="C00000"/>
                <w:sz w:val="22"/>
                <w:szCs w:val="22"/>
              </w:rPr>
              <w:t>k</w:t>
            </w:r>
            <w:r w:rsidRPr="00A867E2">
              <w:rPr>
                <w:rFonts w:ascii="Calibri" w:eastAsia="Times New Roman" w:hAnsi="Calibri"/>
                <w:b/>
                <w:bCs/>
                <w:color w:val="C00000"/>
                <w:sz w:val="28"/>
                <w:szCs w:val="28"/>
                <w:vertAlign w:val="subscript"/>
              </w:rPr>
              <w:t>d</w:t>
            </w:r>
            <w:proofErr w:type="spellEnd"/>
            <w:r w:rsidRPr="00A867E2">
              <w:rPr>
                <w:rFonts w:ascii="Calibri" w:eastAsia="Times New Roman" w:hAnsi="Calibri"/>
                <w:b/>
                <w:bCs/>
                <w:color w:val="C00000"/>
                <w:sz w:val="22"/>
                <w:szCs w:val="22"/>
              </w:rPr>
              <w:t xml:space="preserve"> at 20°C (1/day)</w:t>
            </w:r>
          </w:p>
        </w:tc>
        <w:tc>
          <w:tcPr>
            <w:tcW w:w="1026" w:type="dxa"/>
            <w:tcBorders>
              <w:top w:val="nil"/>
              <w:left w:val="nil"/>
              <w:bottom w:val="single" w:sz="4" w:space="0" w:color="auto"/>
              <w:right w:val="double" w:sz="6" w:space="0" w:color="auto"/>
            </w:tcBorders>
            <w:shd w:val="clear" w:color="000000" w:fill="DDEBF7"/>
            <w:noWrap/>
            <w:vAlign w:val="center"/>
            <w:hideMark/>
          </w:tcPr>
          <w:p w14:paraId="78F52624" w14:textId="77777777" w:rsidR="00A867E2" w:rsidRPr="00A867E2" w:rsidRDefault="00A867E2" w:rsidP="00A867E2">
            <w:pPr>
              <w:spacing w:line="240" w:lineRule="auto"/>
              <w:jc w:val="center"/>
              <w:rPr>
                <w:rFonts w:ascii="Calibri" w:eastAsia="Times New Roman" w:hAnsi="Calibri"/>
                <w:b/>
                <w:bCs/>
                <w:color w:val="C00000"/>
                <w:sz w:val="22"/>
                <w:szCs w:val="22"/>
              </w:rPr>
            </w:pPr>
            <w:r w:rsidRPr="00A867E2">
              <w:rPr>
                <w:rFonts w:ascii="Calibri" w:eastAsia="Times New Roman" w:hAnsi="Calibri"/>
                <w:b/>
                <w:bCs/>
                <w:color w:val="C00000"/>
                <w:sz w:val="22"/>
                <w:szCs w:val="22"/>
              </w:rPr>
              <w:t>0.1</w:t>
            </w:r>
          </w:p>
        </w:tc>
      </w:tr>
      <w:tr w:rsidR="00A867E2" w:rsidRPr="00A867E2" w14:paraId="152F5472" w14:textId="77777777" w:rsidTr="00A867E2">
        <w:trPr>
          <w:trHeight w:val="402"/>
          <w:jc w:val="center"/>
        </w:trPr>
        <w:tc>
          <w:tcPr>
            <w:tcW w:w="3854" w:type="dxa"/>
            <w:tcBorders>
              <w:top w:val="nil"/>
              <w:left w:val="double" w:sz="6" w:space="0" w:color="auto"/>
              <w:bottom w:val="double" w:sz="6" w:space="0" w:color="auto"/>
              <w:right w:val="single" w:sz="4" w:space="0" w:color="auto"/>
            </w:tcBorders>
            <w:shd w:val="clear" w:color="000000" w:fill="9BC2E6"/>
            <w:noWrap/>
            <w:vAlign w:val="center"/>
            <w:hideMark/>
          </w:tcPr>
          <w:p w14:paraId="7C1C1997" w14:textId="77777777" w:rsidR="00A867E2" w:rsidRPr="00A867E2" w:rsidRDefault="00A867E2" w:rsidP="00A867E2">
            <w:pPr>
              <w:spacing w:line="240" w:lineRule="auto"/>
              <w:jc w:val="center"/>
              <w:rPr>
                <w:rFonts w:ascii="Calibri" w:eastAsia="Times New Roman" w:hAnsi="Calibri"/>
                <w:b/>
                <w:bCs/>
                <w:color w:val="C00000"/>
                <w:sz w:val="22"/>
                <w:szCs w:val="22"/>
              </w:rPr>
            </w:pPr>
            <w:r w:rsidRPr="00A867E2">
              <w:rPr>
                <w:rFonts w:ascii="Calibri" w:eastAsia="Times New Roman" w:hAnsi="Calibri"/>
                <w:b/>
                <w:bCs/>
                <w:color w:val="C00000"/>
                <w:sz w:val="22"/>
                <w:szCs w:val="22"/>
              </w:rPr>
              <w:t>k at 20°C (1/day)</w:t>
            </w:r>
          </w:p>
        </w:tc>
        <w:tc>
          <w:tcPr>
            <w:tcW w:w="1026" w:type="dxa"/>
            <w:tcBorders>
              <w:top w:val="nil"/>
              <w:left w:val="nil"/>
              <w:bottom w:val="double" w:sz="6" w:space="0" w:color="auto"/>
              <w:right w:val="double" w:sz="6" w:space="0" w:color="auto"/>
            </w:tcBorders>
            <w:shd w:val="clear" w:color="000000" w:fill="DDEBF7"/>
            <w:noWrap/>
            <w:vAlign w:val="center"/>
            <w:hideMark/>
          </w:tcPr>
          <w:p w14:paraId="5D0EA07A" w14:textId="77777777" w:rsidR="00A867E2" w:rsidRPr="00A867E2" w:rsidRDefault="00A867E2" w:rsidP="00A867E2">
            <w:pPr>
              <w:spacing w:line="240" w:lineRule="auto"/>
              <w:jc w:val="center"/>
              <w:rPr>
                <w:rFonts w:ascii="Calibri" w:eastAsia="Times New Roman" w:hAnsi="Calibri"/>
                <w:b/>
                <w:bCs/>
                <w:color w:val="C00000"/>
                <w:sz w:val="22"/>
                <w:szCs w:val="22"/>
              </w:rPr>
            </w:pPr>
            <w:r w:rsidRPr="00A867E2">
              <w:rPr>
                <w:rFonts w:ascii="Calibri" w:eastAsia="Times New Roman" w:hAnsi="Calibri"/>
                <w:b/>
                <w:bCs/>
                <w:color w:val="C00000"/>
                <w:sz w:val="22"/>
                <w:szCs w:val="22"/>
              </w:rPr>
              <w:t>8</w:t>
            </w:r>
          </w:p>
        </w:tc>
      </w:tr>
    </w:tbl>
    <w:p w14:paraId="53C75103" w14:textId="77777777" w:rsidR="00A867E2" w:rsidRDefault="00A867E2" w:rsidP="00A867E2">
      <w:pPr>
        <w:jc w:val="center"/>
      </w:pPr>
    </w:p>
    <w:p w14:paraId="207BB164" w14:textId="77777777" w:rsidR="00A867E2" w:rsidRDefault="00A867E2" w:rsidP="00CB3C92"/>
    <w:p w14:paraId="7D2D0032" w14:textId="77777777" w:rsidR="00214B4F" w:rsidRDefault="00214B4F" w:rsidP="00CB3C92"/>
    <w:p w14:paraId="4450FFE0" w14:textId="2409D742" w:rsidR="00A867E2" w:rsidRDefault="00DE283E" w:rsidP="00CB3C92">
      <w:r w:rsidRPr="00FA7AF6">
        <w:rPr>
          <w:b/>
          <w:i/>
        </w:rPr>
        <w:t>Temperature</w:t>
      </w:r>
      <w:r w:rsidR="000767B6">
        <w:t xml:space="preserve"> is</w:t>
      </w:r>
      <w:r>
        <w:t xml:space="preserve"> obviously</w:t>
      </w:r>
      <w:r w:rsidR="000767B6">
        <w:t xml:space="preserve"> very impor</w:t>
      </w:r>
      <w:r w:rsidR="00047D66">
        <w:t>tant because temperature impact</w:t>
      </w:r>
      <w:r w:rsidR="000767B6">
        <w:t xml:space="preserve">s the rate of microbial reactions. The </w:t>
      </w:r>
      <w:proofErr w:type="spellStart"/>
      <w:r w:rsidR="000767B6">
        <w:t>biokinetic</w:t>
      </w:r>
      <w:proofErr w:type="spellEnd"/>
      <w:r w:rsidR="000767B6">
        <w:t xml:space="preserve"> constants, </w:t>
      </w:r>
      <w:proofErr w:type="spellStart"/>
      <w:proofErr w:type="gramStart"/>
      <w:r w:rsidR="000767B6">
        <w:t>k</w:t>
      </w:r>
      <w:r w:rsidR="000767B6" w:rsidRPr="000767B6">
        <w:rPr>
          <w:vertAlign w:val="subscript"/>
        </w:rPr>
        <w:t>d</w:t>
      </w:r>
      <w:proofErr w:type="spellEnd"/>
      <w:proofErr w:type="gramEnd"/>
      <w:r w:rsidR="000767B6">
        <w:t xml:space="preserve"> and k, will be adjusted</w:t>
      </w:r>
      <w:r w:rsidR="00DF7142">
        <w:t xml:space="preserve"> by model calculations</w:t>
      </w:r>
      <w:r w:rsidR="000767B6">
        <w:t xml:space="preserve"> according to the input temperature.</w:t>
      </w:r>
      <w:r w:rsidR="00DF7142">
        <w:t xml:space="preserve"> Thus, the input values for these two </w:t>
      </w:r>
      <w:proofErr w:type="spellStart"/>
      <w:r w:rsidR="00A212F9">
        <w:t>biokinetic</w:t>
      </w:r>
      <w:proofErr w:type="spellEnd"/>
      <w:r w:rsidR="00A212F9">
        <w:t xml:space="preserve"> constants must be at 20 °C</w:t>
      </w:r>
      <w:r w:rsidR="00DF7142">
        <w:t>.</w:t>
      </w:r>
      <w:r w:rsidR="000767B6">
        <w:t xml:space="preserve"> The term </w:t>
      </w:r>
      <w:r w:rsidR="00DF7142">
        <w:t>“</w:t>
      </w:r>
      <w:proofErr w:type="spellStart"/>
      <w:r w:rsidR="000767B6">
        <w:t>k</w:t>
      </w:r>
      <w:r w:rsidR="000767B6" w:rsidRPr="000767B6">
        <w:rPr>
          <w:vertAlign w:val="subscript"/>
        </w:rPr>
        <w:t>d</w:t>
      </w:r>
      <w:proofErr w:type="spellEnd"/>
      <w:r w:rsidR="00DF7142">
        <w:t>”</w:t>
      </w:r>
      <w:r w:rsidR="000767B6">
        <w:t xml:space="preserve"> is</w:t>
      </w:r>
      <w:r w:rsidR="00DF7142">
        <w:t xml:space="preserve"> the endogenous decay coefficient</w:t>
      </w:r>
      <w:r w:rsidR="000767B6">
        <w:t>; it determines the rate that the microbes oxidize their own protoplasm to generate energy. At warmer temperatures, the endogenous respiration rate increases</w:t>
      </w:r>
      <w:r w:rsidR="00E048C1">
        <w:t xml:space="preserve">. As a result, under winter conditions less oxygen will be required for the activated sludge process, but sludge (biomass) production will increase. Conversely, under </w:t>
      </w:r>
      <w:r w:rsidR="00E048C1">
        <w:lastRenderedPageBreak/>
        <w:t>summer conditions more oxygen will be required for the activated sludge process, but sludge (biomass) production will decrease.</w:t>
      </w:r>
    </w:p>
    <w:p w14:paraId="72751734" w14:textId="77777777" w:rsidR="00215D5E" w:rsidRDefault="00215D5E" w:rsidP="00CB3C92"/>
    <w:p w14:paraId="11081623" w14:textId="77777777" w:rsidR="00215D5E" w:rsidRPr="000767B6" w:rsidRDefault="00215D5E" w:rsidP="00CB3C92">
      <w:r w:rsidRPr="00FA7AF6">
        <w:rPr>
          <w:b/>
          <w:i/>
        </w:rPr>
        <w:t xml:space="preserve">The term </w:t>
      </w:r>
      <w:r w:rsidR="00DF7142" w:rsidRPr="00FA7AF6">
        <w:rPr>
          <w:b/>
          <w:i/>
        </w:rPr>
        <w:t>“</w:t>
      </w:r>
      <w:r w:rsidRPr="00FA7AF6">
        <w:rPr>
          <w:b/>
          <w:i/>
        </w:rPr>
        <w:t>k</w:t>
      </w:r>
      <w:r w:rsidR="00DF7142" w:rsidRPr="00FA7AF6">
        <w:rPr>
          <w:b/>
          <w:i/>
        </w:rPr>
        <w:t>”</w:t>
      </w:r>
      <w:r>
        <w:t xml:space="preserve"> is the maximum specific substrate utilization rate; it determines the rate at which the heterotrophic bacteria use biodegradable organic matter. Organic matter is used primarily for two purposes by bacteria – synthesis (growth) reactions and energy (oxidation) reactions.</w:t>
      </w:r>
      <w:r w:rsidR="00030322">
        <w:t xml:space="preserve"> Synthesis reactions create bacterial cell mass, primarily through binary fission.</w:t>
      </w:r>
      <w:r>
        <w:t xml:space="preserve"> It should be noted that at low solid retention times (SRTs) most of the influent biodegradable organic loading will be used for synthesis reactions. At longer SRTs most of the influent biodegradable organic loading will be used for energy reactions. </w:t>
      </w:r>
    </w:p>
    <w:p w14:paraId="7E45F415" w14:textId="77777777" w:rsidR="00A867E2" w:rsidRDefault="00A867E2" w:rsidP="00CB3C92"/>
    <w:p w14:paraId="5CB1D2BF" w14:textId="77777777" w:rsidR="00A867E2" w:rsidRDefault="00935836" w:rsidP="00CB3C92">
      <w:r w:rsidRPr="00FA7AF6">
        <w:rPr>
          <w:b/>
          <w:i/>
        </w:rPr>
        <w:t>The term “S</w:t>
      </w:r>
      <w:r w:rsidRPr="00FA7AF6">
        <w:rPr>
          <w:b/>
          <w:i/>
          <w:vertAlign w:val="subscript"/>
        </w:rPr>
        <w:t>o</w:t>
      </w:r>
      <w:r w:rsidRPr="00FA7AF6">
        <w:rPr>
          <w:b/>
          <w:i/>
        </w:rPr>
        <w:t>”</w:t>
      </w:r>
      <w:r>
        <w:t xml:space="preserve"> is the concentration of CBOD</w:t>
      </w:r>
      <w:r w:rsidRPr="00935836">
        <w:rPr>
          <w:vertAlign w:val="subscript"/>
        </w:rPr>
        <w:t>5</w:t>
      </w:r>
      <w:r>
        <w:t xml:space="preserve"> </w:t>
      </w:r>
      <w:r w:rsidRPr="00935836">
        <w:rPr>
          <w:i/>
        </w:rPr>
        <w:t>that enters the activated sludge reactor</w:t>
      </w:r>
      <w:r>
        <w:t>. In other words, the growth limiting substrate in the Bio-Tiger model is CBOD</w:t>
      </w:r>
      <w:r w:rsidRPr="00935836">
        <w:rPr>
          <w:vertAlign w:val="subscript"/>
        </w:rPr>
        <w:t>5</w:t>
      </w:r>
      <w:r>
        <w:t xml:space="preserve">. Defining </w:t>
      </w:r>
      <w:r w:rsidR="004E77BA">
        <w:t>“S</w:t>
      </w:r>
      <w:r w:rsidR="004E77BA" w:rsidRPr="00935836">
        <w:rPr>
          <w:vertAlign w:val="subscript"/>
        </w:rPr>
        <w:t>o</w:t>
      </w:r>
      <w:r w:rsidR="004E77BA">
        <w:t>” accurately is absolutely critical in terms of producing model results in which the user can have good confidence. Obviously, the influent CBOD</w:t>
      </w:r>
      <w:r w:rsidR="004E77BA" w:rsidRPr="004E77BA">
        <w:rPr>
          <w:vertAlign w:val="subscript"/>
        </w:rPr>
        <w:t>5</w:t>
      </w:r>
      <w:r w:rsidR="004E77BA">
        <w:t xml:space="preserve"> concentration changes during the day and throughout the week. Thus, the input value should represent the “average” CBOD</w:t>
      </w:r>
      <w:r w:rsidR="004E77BA" w:rsidRPr="004E77BA">
        <w:rPr>
          <w:vertAlign w:val="subscript"/>
        </w:rPr>
        <w:t>5</w:t>
      </w:r>
      <w:r w:rsidR="004E77BA">
        <w:t xml:space="preserve"> concentration for the particular activated sludge process being evaluated.</w:t>
      </w:r>
      <w:r w:rsidR="00063807">
        <w:t xml:space="preserve"> Remember, this is a steady-state model!</w:t>
      </w:r>
    </w:p>
    <w:p w14:paraId="2CEED2D0" w14:textId="77777777" w:rsidR="00063807" w:rsidRDefault="00063807" w:rsidP="00CB3C92"/>
    <w:p w14:paraId="611A3ED7" w14:textId="77777777" w:rsidR="00063807" w:rsidRDefault="00063807" w:rsidP="00CB3C92">
      <w:r w:rsidRPr="00FA7AF6">
        <w:rPr>
          <w:b/>
          <w:i/>
        </w:rPr>
        <w:t>The volume (V)</w:t>
      </w:r>
      <w:r>
        <w:t xml:space="preserve"> of the reactor should be in million gallons. If the aerobic reactor is preceded by an anaerobic reactor and/or anoxic reactor, it is usually best to use the total (anaerobic/anoxic/aerobic) reactor volume for the model simulation. </w:t>
      </w:r>
    </w:p>
    <w:p w14:paraId="46E9B0AC" w14:textId="77777777" w:rsidR="00063807" w:rsidRDefault="00063807" w:rsidP="00CB3C92"/>
    <w:p w14:paraId="0E2B85E9" w14:textId="77777777" w:rsidR="00063807" w:rsidRDefault="00063807" w:rsidP="00CB3C92">
      <w:r w:rsidRPr="00FA7AF6">
        <w:rPr>
          <w:b/>
          <w:i/>
        </w:rPr>
        <w:t>The flow rate (Q)</w:t>
      </w:r>
      <w:r w:rsidR="00FC4715">
        <w:t xml:space="preserve"> to the reactor is the influent flow rate in million gallons per day (</w:t>
      </w:r>
      <w:proofErr w:type="spellStart"/>
      <w:r w:rsidR="00FC4715">
        <w:t>mgd</w:t>
      </w:r>
      <w:proofErr w:type="spellEnd"/>
      <w:r w:rsidR="00FC4715">
        <w:t xml:space="preserve">). Thus, Q does not include the return activated sludge (RAS) flow rate, and detention time calculations for the reactor(s) are based only on activated sludge influent flow rate. </w:t>
      </w:r>
    </w:p>
    <w:p w14:paraId="36BD03CD" w14:textId="77777777" w:rsidR="00FC4715" w:rsidRDefault="00FC4715" w:rsidP="00CB3C92"/>
    <w:p w14:paraId="0C47A63E" w14:textId="77777777" w:rsidR="00FC4715" w:rsidRDefault="00FC4715" w:rsidP="00CB3C92">
      <w:r w:rsidRPr="00FA7AF6">
        <w:rPr>
          <w:b/>
          <w:i/>
        </w:rPr>
        <w:t>The term “inert VSS”</w:t>
      </w:r>
      <w:r>
        <w:t xml:space="preserve"> is a very important parameter related to the characteristics of the activated sludge influent. </w:t>
      </w:r>
      <w:r w:rsidR="00426A47">
        <w:t>VSS represents the volatile suspended solids in the activated sludge influent. Inert VSS represents the non-biodegradable volatile suspended solids in the activated sludge influent. Inert VSS in the influent is very important because it will typically have a significant impact on total sludge production in the activated sludge process.</w:t>
      </w:r>
      <w:r w:rsidR="00791D54">
        <w:t xml:space="preserve"> In other words, the influent inert VSS will not be degraded in the process and, thus, will eventually end up in the solids leaving the process.</w:t>
      </w:r>
    </w:p>
    <w:p w14:paraId="33C1590A" w14:textId="77777777" w:rsidR="00063807" w:rsidRDefault="00063807" w:rsidP="00CB3C92"/>
    <w:p w14:paraId="1B81972C" w14:textId="7D49090F" w:rsidR="00063807" w:rsidRDefault="007A20F4" w:rsidP="00CB3C92">
      <w:proofErr w:type="spellStart"/>
      <w:r w:rsidRPr="00FA7AF6">
        <w:rPr>
          <w:b/>
          <w:i/>
        </w:rPr>
        <w:t>Oxidizable</w:t>
      </w:r>
      <w:proofErr w:type="spellEnd"/>
      <w:r w:rsidRPr="00FA7AF6">
        <w:rPr>
          <w:b/>
          <w:i/>
        </w:rPr>
        <w:t xml:space="preserve"> nitrogen (N)</w:t>
      </w:r>
      <w:r>
        <w:t xml:space="preserve"> in the activated sludge influent is also a very important input parameter for the model. In most cases, the </w:t>
      </w:r>
      <w:proofErr w:type="spellStart"/>
      <w:r>
        <w:t>oxidizable</w:t>
      </w:r>
      <w:proofErr w:type="spellEnd"/>
      <w:r>
        <w:t xml:space="preserve"> N will be the</w:t>
      </w:r>
      <w:r w:rsidR="00A212F9">
        <w:t xml:space="preserve"> Total </w:t>
      </w:r>
      <w:proofErr w:type="spellStart"/>
      <w:r w:rsidR="00A212F9">
        <w:t>Kjeldahl</w:t>
      </w:r>
      <w:proofErr w:type="spellEnd"/>
      <w:r w:rsidR="00A212F9">
        <w:t xml:space="preserve"> Nitrogen</w:t>
      </w:r>
      <w:r>
        <w:t xml:space="preserve"> </w:t>
      </w:r>
      <w:r w:rsidR="00A212F9">
        <w:t>(</w:t>
      </w:r>
      <w:r>
        <w:t>TKN</w:t>
      </w:r>
      <w:r w:rsidR="00A212F9">
        <w:t>)</w:t>
      </w:r>
      <w:r>
        <w:t xml:space="preserve"> concentration of the activated sludge influent.</w:t>
      </w:r>
      <w:r w:rsidR="00535B2A">
        <w:t xml:space="preserve"> The model assumes that most of the organic N in the activated sludge influent will be mineralized to ammonia-N in the process.</w:t>
      </w:r>
      <w:r>
        <w:t xml:space="preserve"> </w:t>
      </w:r>
      <w:r w:rsidR="00535B2A">
        <w:t xml:space="preserve">The model will calculate the concentration of influent nitrogen that is incorporated in biomass production. Most </w:t>
      </w:r>
      <w:r w:rsidR="00535B2A">
        <w:lastRenderedPageBreak/>
        <w:t>of the remaining influent nitrogen will become effluent ammonia-N and effluent nitrate-N if the process</w:t>
      </w:r>
      <w:r w:rsidR="00275BDE">
        <w:t xml:space="preserve"> has a sufficiently long SRT and</w:t>
      </w:r>
      <w:r w:rsidR="00535B2A">
        <w:t xml:space="preserve"> is not operated to achieve significant denitrification. Typically, effluent dissolved organic N will be relatively low (often 1 mg/L or less), unless the activated sludge process receives significant loadings of inert dissolved organic N (e.g. certain ami</w:t>
      </w:r>
      <w:r w:rsidR="009415D8">
        <w:t xml:space="preserve">ne groups from pulp, paper, </w:t>
      </w:r>
      <w:r w:rsidR="00535B2A">
        <w:t>paperboard</w:t>
      </w:r>
      <w:r w:rsidR="009415D8">
        <w:t>, and cellulose production</w:t>
      </w:r>
      <w:r w:rsidR="00535B2A">
        <w:t xml:space="preserve"> processes)</w:t>
      </w:r>
      <w:r w:rsidR="002E664E">
        <w:t>.</w:t>
      </w:r>
    </w:p>
    <w:p w14:paraId="559131D9" w14:textId="77777777" w:rsidR="002E664E" w:rsidRDefault="002E664E" w:rsidP="00CB3C92"/>
    <w:p w14:paraId="3E323AE2" w14:textId="00B89549" w:rsidR="002E664E" w:rsidRDefault="002E664E" w:rsidP="00CB3C92">
      <w:r>
        <w:t>Biological nitrification converts ammonia-N to nitrite-N and then to nitrate-N. In the model, nearly all of the ammonia-N that is converted to nitrite-N will be subsequently converted to nitrate-N. In activated sludge processes, a problem with the buildup of significant concentrations of nitrite-N (nitrite lock) can occur under some circumstances. In the Bio-Tiger model, the buildup of significant concentrations o</w:t>
      </w:r>
      <w:r w:rsidR="00214B4F">
        <w:t>f nitrite-N is not considered</w:t>
      </w:r>
      <w:r>
        <w:t>.</w:t>
      </w:r>
    </w:p>
    <w:p w14:paraId="2809BCE8" w14:textId="77777777" w:rsidR="002E664E" w:rsidRDefault="002E664E" w:rsidP="00CB3C92"/>
    <w:p w14:paraId="18A0CABA" w14:textId="77777777" w:rsidR="002E664E" w:rsidRDefault="002E664E" w:rsidP="00CB3C92">
      <w:r>
        <w:t>The oxidation of ammonia-N to nitrate-N (nitrification) is handled relatively simply</w:t>
      </w:r>
      <w:r w:rsidR="0087251B">
        <w:t xml:space="preserve"> in the Bio-Tiger model</w:t>
      </w:r>
      <w:r>
        <w:t xml:space="preserve">. </w:t>
      </w:r>
      <w:proofErr w:type="spellStart"/>
      <w:r>
        <w:t>Biokinetic</w:t>
      </w:r>
      <w:proofErr w:type="spellEnd"/>
      <w:r>
        <w:t xml:space="preserve"> equations </w:t>
      </w:r>
      <w:r w:rsidRPr="0087251B">
        <w:rPr>
          <w:b/>
        </w:rPr>
        <w:t>are not used</w:t>
      </w:r>
      <w:r>
        <w:t xml:space="preserve"> to predict the degree of nitrification in the process. It should be noted that several factors affect the nitrification rate in the activated sludge process. They are listed below:</w:t>
      </w:r>
    </w:p>
    <w:p w14:paraId="6B8E0F1E" w14:textId="77777777" w:rsidR="002E664E" w:rsidRDefault="002E664E" w:rsidP="00CB3C92"/>
    <w:p w14:paraId="43E6F207" w14:textId="77777777" w:rsidR="0087251B" w:rsidRPr="0087251B" w:rsidRDefault="0087251B" w:rsidP="0087251B">
      <w:pPr>
        <w:rPr>
          <w:color w:val="000000" w:themeColor="text1"/>
        </w:rPr>
      </w:pPr>
      <w:r>
        <w:tab/>
      </w:r>
      <w:r>
        <w:tab/>
      </w:r>
      <w:r>
        <w:tab/>
      </w:r>
      <w:r w:rsidRPr="0087251B">
        <w:rPr>
          <w:color w:val="000000" w:themeColor="text1"/>
        </w:rPr>
        <w:t>Type of reactor (plug flow or complete-mix)</w:t>
      </w:r>
    </w:p>
    <w:p w14:paraId="0DDFC166" w14:textId="77777777" w:rsidR="0087251B" w:rsidRPr="0087251B" w:rsidRDefault="0087251B" w:rsidP="0087251B">
      <w:pPr>
        <w:ind w:left="2160"/>
        <w:rPr>
          <w:color w:val="000000" w:themeColor="text1"/>
        </w:rPr>
      </w:pPr>
      <w:r w:rsidRPr="0087251B">
        <w:rPr>
          <w:color w:val="000000" w:themeColor="text1"/>
        </w:rPr>
        <w:t>SRT</w:t>
      </w:r>
    </w:p>
    <w:p w14:paraId="5C0B2B23" w14:textId="50EDACEE" w:rsidR="0087251B" w:rsidRPr="0087251B" w:rsidRDefault="00214B4F" w:rsidP="0087251B">
      <w:pPr>
        <w:ind w:left="1440" w:firstLine="720"/>
        <w:rPr>
          <w:color w:val="000000" w:themeColor="text1"/>
        </w:rPr>
      </w:pPr>
      <w:r>
        <w:rPr>
          <w:color w:val="000000" w:themeColor="text1"/>
        </w:rPr>
        <w:t>Dissolved oxygen (</w:t>
      </w:r>
      <w:r w:rsidR="0087251B" w:rsidRPr="0087251B">
        <w:rPr>
          <w:color w:val="000000" w:themeColor="text1"/>
        </w:rPr>
        <w:t>DO</w:t>
      </w:r>
      <w:r>
        <w:rPr>
          <w:color w:val="000000" w:themeColor="text1"/>
        </w:rPr>
        <w:t>)</w:t>
      </w:r>
    </w:p>
    <w:p w14:paraId="3382C9B0" w14:textId="77777777" w:rsidR="0087251B" w:rsidRPr="0087251B" w:rsidRDefault="0087251B" w:rsidP="0087251B">
      <w:pPr>
        <w:ind w:left="1440" w:firstLine="720"/>
        <w:rPr>
          <w:color w:val="000000" w:themeColor="text1"/>
        </w:rPr>
      </w:pPr>
      <w:r w:rsidRPr="0087251B">
        <w:rPr>
          <w:color w:val="000000" w:themeColor="text1"/>
        </w:rPr>
        <w:t>Temperature</w:t>
      </w:r>
    </w:p>
    <w:p w14:paraId="3B8034F6" w14:textId="77777777" w:rsidR="0087251B" w:rsidRPr="0087251B" w:rsidRDefault="0087251B" w:rsidP="0087251B">
      <w:pPr>
        <w:ind w:left="1440" w:firstLine="720"/>
        <w:rPr>
          <w:color w:val="000000" w:themeColor="text1"/>
        </w:rPr>
      </w:pPr>
      <w:proofErr w:type="gramStart"/>
      <w:r w:rsidRPr="0087251B">
        <w:rPr>
          <w:color w:val="000000" w:themeColor="text1"/>
        </w:rPr>
        <w:t>pH</w:t>
      </w:r>
      <w:proofErr w:type="gramEnd"/>
    </w:p>
    <w:p w14:paraId="407C9AE8" w14:textId="77777777" w:rsidR="0087251B" w:rsidRPr="0087251B" w:rsidRDefault="0087251B" w:rsidP="0087251B">
      <w:pPr>
        <w:ind w:left="1440" w:firstLine="720"/>
        <w:rPr>
          <w:color w:val="000000" w:themeColor="text1"/>
        </w:rPr>
      </w:pPr>
      <w:r w:rsidRPr="0087251B">
        <w:rPr>
          <w:color w:val="000000" w:themeColor="text1"/>
        </w:rPr>
        <w:t>Ammonia-N concentration</w:t>
      </w:r>
    </w:p>
    <w:p w14:paraId="074F9272" w14:textId="77777777" w:rsidR="0087251B" w:rsidRPr="0087251B" w:rsidRDefault="0087251B" w:rsidP="0087251B">
      <w:pPr>
        <w:ind w:left="1440" w:firstLine="720"/>
        <w:rPr>
          <w:color w:val="000000" w:themeColor="text1"/>
        </w:rPr>
      </w:pPr>
      <w:r w:rsidRPr="0087251B">
        <w:rPr>
          <w:color w:val="000000" w:themeColor="text1"/>
        </w:rPr>
        <w:t>Impact of inhibitory substances</w:t>
      </w:r>
    </w:p>
    <w:p w14:paraId="12B1E2ED" w14:textId="77777777" w:rsidR="00063807" w:rsidRDefault="00063807" w:rsidP="00CB3C92">
      <w:pPr>
        <w:rPr>
          <w:color w:val="000000" w:themeColor="text1"/>
        </w:rPr>
      </w:pPr>
    </w:p>
    <w:p w14:paraId="4D5B6AD3" w14:textId="2DBC0060" w:rsidR="0087251B" w:rsidRDefault="0087251B" w:rsidP="00CB3C92">
      <w:pPr>
        <w:rPr>
          <w:color w:val="000000" w:themeColor="text1"/>
        </w:rPr>
      </w:pPr>
      <w:r>
        <w:rPr>
          <w:color w:val="000000" w:themeColor="text1"/>
        </w:rPr>
        <w:t>The Bio-Tiger model uses empirically derived curves that determine the degree of nitrification based on the solids retention time (SRT) of the activated sludge process. The Bio-Tiger model uses three different curves for nitrification efficiency versus SRT based on data from actual activated sludge processes. One curve is for mixed</w:t>
      </w:r>
      <w:r w:rsidR="00BA760F">
        <w:rPr>
          <w:color w:val="000000" w:themeColor="text1"/>
        </w:rPr>
        <w:t xml:space="preserve"> liquor temperatures less than 15 °C; one curve is for mixed liquor t</w:t>
      </w:r>
      <w:r w:rsidR="00214B4F">
        <w:rPr>
          <w:color w:val="000000" w:themeColor="text1"/>
        </w:rPr>
        <w:t>emperatures between 15 °C and</w:t>
      </w:r>
      <w:r w:rsidR="00BA760F">
        <w:rPr>
          <w:color w:val="000000" w:themeColor="text1"/>
        </w:rPr>
        <w:t xml:space="preserve"> 24 °C; and one curve is</w:t>
      </w:r>
      <w:r w:rsidR="00214B4F">
        <w:rPr>
          <w:color w:val="000000" w:themeColor="text1"/>
        </w:rPr>
        <w:t xml:space="preserve"> for mixed liquor temperatures above</w:t>
      </w:r>
      <w:r w:rsidR="00BA760F">
        <w:rPr>
          <w:color w:val="000000" w:themeColor="text1"/>
        </w:rPr>
        <w:t xml:space="preserve"> 24 °C. It should be noted that the nitrification curves in the model typically slightly under-predict the degree of nitrification. In other words, the effluent ammonia-N concentration is usually predicted slightly higher than what the activated sludge process w</w:t>
      </w:r>
      <w:r w:rsidR="008150BC">
        <w:rPr>
          <w:color w:val="000000" w:themeColor="text1"/>
        </w:rPr>
        <w:t>ill likely yield</w:t>
      </w:r>
      <w:r w:rsidR="00BA760F">
        <w:rPr>
          <w:color w:val="000000" w:themeColor="text1"/>
        </w:rPr>
        <w:t xml:space="preserve"> in the field. </w:t>
      </w:r>
      <w:r w:rsidR="00675C4E">
        <w:rPr>
          <w:color w:val="000000" w:themeColor="text1"/>
        </w:rPr>
        <w:t>Nevertheless, Dr. Moore has used this approach with reasona</w:t>
      </w:r>
      <w:r w:rsidR="00214B4F">
        <w:rPr>
          <w:color w:val="000000" w:themeColor="text1"/>
        </w:rPr>
        <w:t>bly good success for many years.</w:t>
      </w:r>
      <w:r w:rsidR="00675C4E">
        <w:rPr>
          <w:color w:val="000000" w:themeColor="text1"/>
        </w:rPr>
        <w:t xml:space="preserve"> </w:t>
      </w:r>
    </w:p>
    <w:p w14:paraId="471DFA7E" w14:textId="77777777" w:rsidR="008724C9" w:rsidRDefault="008724C9" w:rsidP="00CB3C92">
      <w:pPr>
        <w:rPr>
          <w:color w:val="000000" w:themeColor="text1"/>
        </w:rPr>
      </w:pPr>
    </w:p>
    <w:p w14:paraId="641F8572" w14:textId="20671D8C" w:rsidR="008724C9" w:rsidRDefault="008724C9" w:rsidP="00CB3C92">
      <w:pPr>
        <w:rPr>
          <w:color w:val="000000" w:themeColor="text1"/>
        </w:rPr>
      </w:pPr>
      <w:r>
        <w:rPr>
          <w:color w:val="000000" w:themeColor="text1"/>
        </w:rPr>
        <w:t xml:space="preserve">As in the Metcalf &amp; Eddy book, the </w:t>
      </w:r>
      <w:r w:rsidRPr="00FA7AF6">
        <w:rPr>
          <w:b/>
          <w:i/>
          <w:color w:val="000000" w:themeColor="text1"/>
        </w:rPr>
        <w:t>VSS/TSS ratio</w:t>
      </w:r>
      <w:r>
        <w:rPr>
          <w:color w:val="000000" w:themeColor="text1"/>
        </w:rPr>
        <w:t xml:space="preserve"> of the biomass is estimated to be 0.85. The user may change this ratio, but the value used should normally be</w:t>
      </w:r>
      <w:r w:rsidR="00214B4F">
        <w:rPr>
          <w:color w:val="000000" w:themeColor="text1"/>
        </w:rPr>
        <w:t xml:space="preserve"> in the range of</w:t>
      </w:r>
      <w:r>
        <w:rPr>
          <w:color w:val="000000" w:themeColor="text1"/>
        </w:rPr>
        <w:t xml:space="preserve"> 0.80 to 0.90. Dr. Moore almost exclusively uses the 0.85 v</w:t>
      </w:r>
      <w:r w:rsidR="00D3455F">
        <w:rPr>
          <w:color w:val="000000" w:themeColor="text1"/>
        </w:rPr>
        <w:t xml:space="preserve">alue. </w:t>
      </w:r>
      <w:r w:rsidR="00DE283E">
        <w:rPr>
          <w:color w:val="000000" w:themeColor="text1"/>
        </w:rPr>
        <w:t xml:space="preserve">This parameter should not be confused with </w:t>
      </w:r>
      <w:r w:rsidR="00DE283E">
        <w:rPr>
          <w:color w:val="000000" w:themeColor="text1"/>
        </w:rPr>
        <w:lastRenderedPageBreak/>
        <w:t xml:space="preserve">the ratio of MLVSS to MLSS, which decreases as SRT increases, due to oxidation of the biomass during endogenous respiration. </w:t>
      </w:r>
    </w:p>
    <w:p w14:paraId="284F3FCE" w14:textId="77777777" w:rsidR="00D3455F" w:rsidRDefault="00D3455F" w:rsidP="00CB3C92">
      <w:pPr>
        <w:rPr>
          <w:color w:val="000000" w:themeColor="text1"/>
        </w:rPr>
      </w:pPr>
    </w:p>
    <w:p w14:paraId="034F9011" w14:textId="6063DC8F" w:rsidR="00D3455F" w:rsidRDefault="00D3455F" w:rsidP="00CB3C92">
      <w:r>
        <w:t xml:space="preserve">The </w:t>
      </w:r>
      <w:r w:rsidRPr="00FA7AF6">
        <w:rPr>
          <w:b/>
          <w:i/>
        </w:rPr>
        <w:t>influent TSS</w:t>
      </w:r>
      <w:r>
        <w:t xml:space="preserve"> concentration is important, </w:t>
      </w:r>
      <w:r w:rsidR="00DE283E">
        <w:t>and</w:t>
      </w:r>
      <w:r>
        <w:t xml:space="preserve"> is primarily used to calculate the mass loading of TSS on the activated sludge process.</w:t>
      </w:r>
    </w:p>
    <w:p w14:paraId="1E568191" w14:textId="77777777" w:rsidR="00D3455F" w:rsidRDefault="00D3455F" w:rsidP="00CB3C92"/>
    <w:p w14:paraId="77B563A7" w14:textId="14976604" w:rsidR="00D3455F" w:rsidRDefault="00D3455F" w:rsidP="00CB3C92">
      <w:r>
        <w:t>The</w:t>
      </w:r>
      <w:r w:rsidR="00D31EB8">
        <w:t xml:space="preserve"> </w:t>
      </w:r>
      <w:r w:rsidR="00D31EB8" w:rsidRPr="00FA7AF6">
        <w:rPr>
          <w:b/>
          <w:i/>
        </w:rPr>
        <w:t>inert</w:t>
      </w:r>
      <w:r w:rsidRPr="00FA7AF6">
        <w:rPr>
          <w:b/>
          <w:i/>
        </w:rPr>
        <w:t xml:space="preserve"> inorganic TSS</w:t>
      </w:r>
      <w:r>
        <w:t xml:space="preserve"> concentration entering the activated sludge process is very important because (like the inert VSS) the</w:t>
      </w:r>
      <w:r w:rsidR="00D31EB8">
        <w:t xml:space="preserve"> inert</w:t>
      </w:r>
      <w:r>
        <w:t xml:space="preserve"> inorganic TSS concentration has a significant impact on solids producti</w:t>
      </w:r>
      <w:r w:rsidR="00214B4F">
        <w:t>on</w:t>
      </w:r>
      <w:r w:rsidR="00750E16">
        <w:t>. A significant portion of inorganic TSS is inert</w:t>
      </w:r>
      <w:r>
        <w:t xml:space="preserve"> and will eventually end up in the solids leaving the process. The guidelines for selecting the inert VSS and</w:t>
      </w:r>
      <w:r w:rsidR="00D31EB8">
        <w:t xml:space="preserve"> inert</w:t>
      </w:r>
      <w:r>
        <w:t xml:space="preserve"> inorganic TSS of the influent are based on the influent TSS concent</w:t>
      </w:r>
      <w:r w:rsidR="00214B4F">
        <w:t>ration. This decision is left</w:t>
      </w:r>
      <w:r>
        <w:t xml:space="preserve"> entirely to the model user. However, it is essential that reasonable values be selected for any model simulation. </w:t>
      </w:r>
      <w:r w:rsidR="008F4485">
        <w:t>The suggested guidelines are noted below:</w:t>
      </w:r>
    </w:p>
    <w:p w14:paraId="04BCF58F" w14:textId="77777777" w:rsidR="008F4485" w:rsidRDefault="008F4485" w:rsidP="00CB3C92"/>
    <w:p w14:paraId="60251409" w14:textId="77777777" w:rsidR="008F4485" w:rsidRPr="008F4485" w:rsidRDefault="008F4485" w:rsidP="008F4485">
      <w:pPr>
        <w:jc w:val="center"/>
      </w:pPr>
      <w:r>
        <w:rPr>
          <w:u w:val="single"/>
        </w:rPr>
        <w:t>Influent TSS concentration, mg/L</w:t>
      </w:r>
      <w:r>
        <w:tab/>
      </w:r>
      <w:r>
        <w:tab/>
      </w:r>
      <w:r w:rsidRPr="008F4485">
        <w:rPr>
          <w:u w:val="single"/>
        </w:rPr>
        <w:t>Inert VSS, mg/L</w:t>
      </w:r>
      <w:r>
        <w:tab/>
      </w:r>
      <w:r w:rsidR="00D31EB8">
        <w:rPr>
          <w:u w:val="single"/>
        </w:rPr>
        <w:t xml:space="preserve">Inert </w:t>
      </w:r>
      <w:proofErr w:type="spellStart"/>
      <w:r w:rsidR="00D31EB8">
        <w:rPr>
          <w:u w:val="single"/>
        </w:rPr>
        <w:t>Inorg</w:t>
      </w:r>
      <w:proofErr w:type="spellEnd"/>
      <w:r w:rsidR="00D31EB8">
        <w:rPr>
          <w:u w:val="single"/>
        </w:rPr>
        <w:t>.</w:t>
      </w:r>
      <w:r w:rsidRPr="008F4485">
        <w:rPr>
          <w:u w:val="single"/>
        </w:rPr>
        <w:t xml:space="preserve"> TSS, mg/L</w:t>
      </w:r>
    </w:p>
    <w:p w14:paraId="097E9A1B" w14:textId="77777777" w:rsidR="00063807" w:rsidRDefault="00063807" w:rsidP="00CB3C92"/>
    <w:p w14:paraId="58EAA273" w14:textId="77777777" w:rsidR="008F4485" w:rsidRDefault="008F4485" w:rsidP="00CB3C92">
      <w:r>
        <w:tab/>
      </w:r>
      <w:r>
        <w:tab/>
        <w:t>100</w:t>
      </w:r>
      <w:r>
        <w:tab/>
      </w:r>
      <w:r>
        <w:tab/>
      </w:r>
      <w:r>
        <w:tab/>
      </w:r>
      <w:r>
        <w:tab/>
      </w:r>
      <w:r>
        <w:tab/>
        <w:t xml:space="preserve">      20</w:t>
      </w:r>
      <w:r>
        <w:tab/>
      </w:r>
      <w:r>
        <w:tab/>
      </w:r>
      <w:r>
        <w:tab/>
      </w:r>
      <w:r>
        <w:tab/>
        <w:t>10</w:t>
      </w:r>
    </w:p>
    <w:p w14:paraId="3C66E8CC" w14:textId="77777777" w:rsidR="008F4485" w:rsidRDefault="008F4485" w:rsidP="00CB3C92">
      <w:r>
        <w:tab/>
      </w:r>
      <w:r>
        <w:tab/>
        <w:t>150</w:t>
      </w:r>
      <w:r>
        <w:tab/>
      </w:r>
      <w:r>
        <w:tab/>
      </w:r>
      <w:r>
        <w:tab/>
      </w:r>
      <w:r>
        <w:tab/>
      </w:r>
      <w:r>
        <w:tab/>
        <w:t xml:space="preserve">      30</w:t>
      </w:r>
      <w:r>
        <w:tab/>
      </w:r>
      <w:r>
        <w:tab/>
      </w:r>
      <w:r>
        <w:tab/>
      </w:r>
      <w:r>
        <w:tab/>
        <w:t>15</w:t>
      </w:r>
    </w:p>
    <w:p w14:paraId="52FDBDD7" w14:textId="77777777" w:rsidR="008F4485" w:rsidRDefault="008F4485" w:rsidP="00CB3C92">
      <w:r>
        <w:tab/>
      </w:r>
      <w:r>
        <w:tab/>
        <w:t>200</w:t>
      </w:r>
      <w:r>
        <w:tab/>
      </w:r>
      <w:r>
        <w:tab/>
      </w:r>
      <w:r>
        <w:tab/>
      </w:r>
      <w:r>
        <w:tab/>
      </w:r>
      <w:r>
        <w:tab/>
        <w:t xml:space="preserve">      40</w:t>
      </w:r>
      <w:r>
        <w:tab/>
      </w:r>
      <w:r>
        <w:tab/>
      </w:r>
      <w:r>
        <w:tab/>
      </w:r>
      <w:r>
        <w:tab/>
        <w:t>20</w:t>
      </w:r>
    </w:p>
    <w:p w14:paraId="6B68B1E0" w14:textId="77777777" w:rsidR="008F4485" w:rsidRDefault="008F4485" w:rsidP="00CB3C92">
      <w:r>
        <w:tab/>
      </w:r>
      <w:r>
        <w:tab/>
        <w:t>250</w:t>
      </w:r>
      <w:r>
        <w:tab/>
      </w:r>
      <w:r>
        <w:tab/>
      </w:r>
      <w:r>
        <w:tab/>
      </w:r>
      <w:r>
        <w:tab/>
      </w:r>
      <w:r>
        <w:tab/>
        <w:t xml:space="preserve">      50</w:t>
      </w:r>
      <w:r>
        <w:tab/>
      </w:r>
      <w:r>
        <w:tab/>
      </w:r>
      <w:r>
        <w:tab/>
      </w:r>
      <w:r>
        <w:tab/>
        <w:t>25</w:t>
      </w:r>
    </w:p>
    <w:p w14:paraId="2A7CD73C" w14:textId="77777777" w:rsidR="008F4485" w:rsidRDefault="008F4485" w:rsidP="00CB3C92">
      <w:r>
        <w:tab/>
      </w:r>
      <w:r>
        <w:tab/>
        <w:t>300</w:t>
      </w:r>
      <w:r>
        <w:tab/>
      </w:r>
      <w:r>
        <w:tab/>
      </w:r>
      <w:r>
        <w:tab/>
      </w:r>
      <w:r>
        <w:tab/>
      </w:r>
      <w:r>
        <w:tab/>
        <w:t xml:space="preserve">      60</w:t>
      </w:r>
      <w:r>
        <w:tab/>
      </w:r>
      <w:r>
        <w:tab/>
      </w:r>
      <w:r>
        <w:tab/>
      </w:r>
      <w:r>
        <w:tab/>
        <w:t>30</w:t>
      </w:r>
    </w:p>
    <w:p w14:paraId="1259F230" w14:textId="77777777" w:rsidR="00792BE9" w:rsidRDefault="00792BE9" w:rsidP="00CB3C92"/>
    <w:p w14:paraId="1FACE9AA" w14:textId="721CFCAA" w:rsidR="00792BE9" w:rsidRDefault="00750E16" w:rsidP="00CB3C92">
      <w:r w:rsidRPr="00FA7AF6">
        <w:rPr>
          <w:b/>
          <w:i/>
        </w:rPr>
        <w:t>Effluent TSS</w:t>
      </w:r>
      <w:r>
        <w:t xml:space="preserve"> concentration is very important and must be specified by the user. Effluent TSS (mass loading) is known as “unintentional solids wasted.” Thus, the effluent TSS mass loading </w:t>
      </w:r>
      <w:r w:rsidR="00214B4F">
        <w:t xml:space="preserve">is important in calculating </w:t>
      </w:r>
      <w:r>
        <w:t>SRT for the process. Moreover, effluent TSS will be used to calculate the suspended or “chunky” CBOD</w:t>
      </w:r>
      <w:r w:rsidRPr="00750E16">
        <w:rPr>
          <w:vertAlign w:val="subscript"/>
        </w:rPr>
        <w:t>5</w:t>
      </w:r>
      <w:r>
        <w:t xml:space="preserve"> of the effluent. It should be noted that the fraction of the effluent TSS that is biodegradable will decrease with increasing SRT. Therefore, the suspended CBOD</w:t>
      </w:r>
      <w:r w:rsidRPr="00750E16">
        <w:rPr>
          <w:vertAlign w:val="subscript"/>
        </w:rPr>
        <w:t>5</w:t>
      </w:r>
      <w:r>
        <w:t xml:space="preserve"> will decrease with increasing SRT for the same effluent TSS concentration. The total CBOD</w:t>
      </w:r>
      <w:r w:rsidRPr="00750E16">
        <w:rPr>
          <w:vertAlign w:val="subscript"/>
        </w:rPr>
        <w:t>5</w:t>
      </w:r>
      <w:r>
        <w:t xml:space="preserve"> of the effluent is the “chunky” effluent CBOD</w:t>
      </w:r>
      <w:r w:rsidRPr="00750E16">
        <w:rPr>
          <w:vertAlign w:val="subscript"/>
        </w:rPr>
        <w:t>5</w:t>
      </w:r>
      <w:r>
        <w:t xml:space="preserve"> plus the soluble effluent CBOD</w:t>
      </w:r>
      <w:r w:rsidRPr="00750E16">
        <w:rPr>
          <w:vertAlign w:val="subscript"/>
        </w:rPr>
        <w:t>5</w:t>
      </w:r>
      <w:r>
        <w:t xml:space="preserve">. </w:t>
      </w:r>
    </w:p>
    <w:p w14:paraId="478CEA83" w14:textId="77777777" w:rsidR="008F4485" w:rsidRDefault="008F4485" w:rsidP="00CB3C92"/>
    <w:p w14:paraId="040D6F92" w14:textId="77777777" w:rsidR="00063807" w:rsidRDefault="001B4959" w:rsidP="00CB3C92">
      <w:r w:rsidRPr="00FA7AF6">
        <w:rPr>
          <w:b/>
          <w:i/>
        </w:rPr>
        <w:t>RAS TSS</w:t>
      </w:r>
      <w:r>
        <w:t xml:space="preserve"> concentration is also very important because it is used to determine the RAS flow rate and the WAS flow rate for activated sludge. Typically, RAS TSS will be in the range of 4,000 to 15,000 mg/L, but it can be outside this range in some plants.</w:t>
      </w:r>
    </w:p>
    <w:p w14:paraId="127DEE90" w14:textId="77777777" w:rsidR="001B4959" w:rsidRDefault="001B4959" w:rsidP="00CB3C92"/>
    <w:p w14:paraId="0435B879" w14:textId="1C43723D" w:rsidR="00764843" w:rsidRDefault="00764843" w:rsidP="00CB3C92">
      <w:r>
        <w:t xml:space="preserve">The user must specify the </w:t>
      </w:r>
      <w:r w:rsidRPr="00FA7AF6">
        <w:rPr>
          <w:b/>
          <w:i/>
        </w:rPr>
        <w:t>MLSS concentration</w:t>
      </w:r>
      <w:r>
        <w:t xml:space="preserve"> for the activated sludge process. Typically, MLSS concentration will be in the range of 1,000 mg/L to 5,000 mg/L. However, MLSS values outside this range are possible.</w:t>
      </w:r>
      <w:r w:rsidR="00E2072D" w:rsidRPr="00E2072D">
        <w:t xml:space="preserve"> </w:t>
      </w:r>
      <w:r w:rsidR="00E2072D">
        <w:t>Although MLSS concentration may be slightly different in the reactors (if more than one reactor is in use) used in the process, it is best to select an “average” MLSS concentration for the reactors.</w:t>
      </w:r>
    </w:p>
    <w:p w14:paraId="1BF2A93D" w14:textId="77777777" w:rsidR="00764843" w:rsidRDefault="00764843" w:rsidP="00CB3C92"/>
    <w:p w14:paraId="4753543D" w14:textId="77777777" w:rsidR="001B4959" w:rsidRDefault="001B4959" w:rsidP="00CB3C92">
      <w:r w:rsidRPr="00FA7AF6">
        <w:rPr>
          <w:b/>
          <w:i/>
        </w:rPr>
        <w:lastRenderedPageBreak/>
        <w:t>The term “</w:t>
      </w:r>
      <w:proofErr w:type="spellStart"/>
      <w:r w:rsidRPr="00FA7AF6">
        <w:rPr>
          <w:b/>
          <w:i/>
        </w:rPr>
        <w:t>f</w:t>
      </w:r>
      <w:r w:rsidRPr="00FA7AF6">
        <w:rPr>
          <w:b/>
          <w:i/>
          <w:vertAlign w:val="subscript"/>
        </w:rPr>
        <w:t>d</w:t>
      </w:r>
      <w:proofErr w:type="spellEnd"/>
      <w:r w:rsidRPr="00FA7AF6">
        <w:rPr>
          <w:b/>
          <w:i/>
        </w:rPr>
        <w:t>”</w:t>
      </w:r>
      <w:r>
        <w:t xml:space="preserve"> is the fraction of biomass that remains as cell debris. The typical range for “</w:t>
      </w:r>
      <w:proofErr w:type="spellStart"/>
      <w:r>
        <w:t>f</w:t>
      </w:r>
      <w:r w:rsidRPr="001B4959">
        <w:rPr>
          <w:vertAlign w:val="subscript"/>
        </w:rPr>
        <w:t>d</w:t>
      </w:r>
      <w:proofErr w:type="spellEnd"/>
      <w:r>
        <w:t xml:space="preserve">” is 0.10 to 0.15. Cell debris is a small component of biomass production, </w:t>
      </w:r>
      <w:r w:rsidR="00077057">
        <w:t>but it is</w:t>
      </w:r>
      <w:r>
        <w:t xml:space="preserve"> included</w:t>
      </w:r>
      <w:r w:rsidR="00243780">
        <w:t xml:space="preserve"> because it</w:t>
      </w:r>
      <w:r w:rsidR="006048E4">
        <w:t xml:space="preserve"> impacts biomass</w:t>
      </w:r>
      <w:r w:rsidR="00243780">
        <w:t xml:space="preserve"> production and oxygen requirements.</w:t>
      </w:r>
    </w:p>
    <w:p w14:paraId="62D38226" w14:textId="77777777" w:rsidR="00243780" w:rsidRDefault="00243780" w:rsidP="00CB3C92"/>
    <w:p w14:paraId="6734CB69" w14:textId="77777777" w:rsidR="00243780" w:rsidRDefault="00243780" w:rsidP="00CB3C92">
      <w:r w:rsidRPr="00FA7AF6">
        <w:rPr>
          <w:b/>
          <w:i/>
        </w:rPr>
        <w:t>The term “Y”</w:t>
      </w:r>
      <w:r>
        <w:t xml:space="preserve"> is the biomass yield constant. The typical range for this parameter is 0.</w:t>
      </w:r>
      <w:r w:rsidR="006048E4">
        <w:t>4 to 0.8. It impacts</w:t>
      </w:r>
      <w:r w:rsidR="006A55A9">
        <w:t xml:space="preserve"> biomass production, substrate utilization,</w:t>
      </w:r>
      <w:r>
        <w:t xml:space="preserve"> and oxygen requirements. It is the theoretical </w:t>
      </w:r>
      <w:r w:rsidR="00077057">
        <w:t xml:space="preserve">(gross) </w:t>
      </w:r>
      <w:r>
        <w:t>yield of biomass per unit BOD</w:t>
      </w:r>
      <w:r w:rsidRPr="00243780">
        <w:rPr>
          <w:vertAlign w:val="subscript"/>
        </w:rPr>
        <w:t>5</w:t>
      </w:r>
      <w:r>
        <w:t xml:space="preserve"> consumed. The “net” yield of biomass depends on </w:t>
      </w:r>
      <w:proofErr w:type="spellStart"/>
      <w:proofErr w:type="gramStart"/>
      <w:r>
        <w:t>k</w:t>
      </w:r>
      <w:r w:rsidRPr="006048E4">
        <w:rPr>
          <w:vertAlign w:val="subscript"/>
        </w:rPr>
        <w:t>d</w:t>
      </w:r>
      <w:proofErr w:type="spellEnd"/>
      <w:proofErr w:type="gramEnd"/>
      <w:r>
        <w:t xml:space="preserve"> and SRT; the net yield decreases as </w:t>
      </w:r>
      <w:proofErr w:type="spellStart"/>
      <w:r w:rsidR="006048E4">
        <w:t>k</w:t>
      </w:r>
      <w:r w:rsidR="006048E4" w:rsidRPr="006048E4">
        <w:rPr>
          <w:vertAlign w:val="subscript"/>
        </w:rPr>
        <w:t>d</w:t>
      </w:r>
      <w:proofErr w:type="spellEnd"/>
      <w:r w:rsidR="006048E4">
        <w:t xml:space="preserve"> increases and as SRT increases.</w:t>
      </w:r>
    </w:p>
    <w:p w14:paraId="6F6C72A7" w14:textId="77777777" w:rsidR="006048E4" w:rsidRDefault="006048E4" w:rsidP="00CB3C92"/>
    <w:p w14:paraId="2E776602" w14:textId="77777777" w:rsidR="006048E4" w:rsidRDefault="006048E4" w:rsidP="00CB3C92">
      <w:r w:rsidRPr="00FA7AF6">
        <w:rPr>
          <w:b/>
          <w:i/>
        </w:rPr>
        <w:t>The term “K</w:t>
      </w:r>
      <w:r w:rsidRPr="00FA7AF6">
        <w:rPr>
          <w:b/>
          <w:i/>
          <w:vertAlign w:val="subscript"/>
        </w:rPr>
        <w:t>s</w:t>
      </w:r>
      <w:r w:rsidRPr="00FA7AF6">
        <w:rPr>
          <w:b/>
          <w:i/>
        </w:rPr>
        <w:t>”</w:t>
      </w:r>
      <w:r>
        <w:t xml:space="preserve"> is the half saturation constant. The typical range for this parameter is 25 to 100 mg/L. It impacts substrate (BOD</w:t>
      </w:r>
      <w:r w:rsidRPr="006048E4">
        <w:rPr>
          <w:vertAlign w:val="subscript"/>
        </w:rPr>
        <w:t>5</w:t>
      </w:r>
      <w:r>
        <w:t>) utilization and biomass growth.</w:t>
      </w:r>
    </w:p>
    <w:p w14:paraId="35911F96" w14:textId="77777777" w:rsidR="006048E4" w:rsidRDefault="006048E4" w:rsidP="00CB3C92"/>
    <w:p w14:paraId="1B759490" w14:textId="77777777" w:rsidR="006048E4" w:rsidRDefault="006A55A9" w:rsidP="00CB3C92">
      <w:r w:rsidRPr="00FA7AF6">
        <w:rPr>
          <w:b/>
          <w:i/>
        </w:rPr>
        <w:t>The term “</w:t>
      </w:r>
      <w:proofErr w:type="spellStart"/>
      <w:r w:rsidRPr="00FA7AF6">
        <w:rPr>
          <w:b/>
          <w:i/>
        </w:rPr>
        <w:t>k</w:t>
      </w:r>
      <w:r w:rsidRPr="00FA7AF6">
        <w:rPr>
          <w:b/>
          <w:i/>
          <w:vertAlign w:val="subscript"/>
        </w:rPr>
        <w:t>d</w:t>
      </w:r>
      <w:proofErr w:type="spellEnd"/>
      <w:r w:rsidRPr="00FA7AF6">
        <w:rPr>
          <w:b/>
          <w:i/>
        </w:rPr>
        <w:t>”</w:t>
      </w:r>
      <w:r>
        <w:t xml:space="preserve"> is the endogenous decay coefficient. The typical range for this parameter at 20 °C is 0.06 to 0.15 day</w:t>
      </w:r>
      <w:r w:rsidRPr="006A55A9">
        <w:rPr>
          <w:vertAlign w:val="superscript"/>
        </w:rPr>
        <w:t>-1</w:t>
      </w:r>
      <w:r>
        <w:t>. It impacts biomass production, substrate utilization, and oxygen requirements. This parameter will be adjusted in the model calculations based on temperature.</w:t>
      </w:r>
    </w:p>
    <w:p w14:paraId="08D10E57" w14:textId="77777777" w:rsidR="006A55A9" w:rsidRDefault="006A55A9" w:rsidP="00CB3C92"/>
    <w:p w14:paraId="571FD1A8" w14:textId="77777777" w:rsidR="006A55A9" w:rsidRDefault="006A55A9" w:rsidP="00CB3C92">
      <w:r w:rsidRPr="00FA7AF6">
        <w:rPr>
          <w:b/>
          <w:i/>
        </w:rPr>
        <w:t>The term “k”</w:t>
      </w:r>
      <w:r>
        <w:t xml:space="preserve"> is the maximum specific substrate utilization rate. The typical range for this parameter at 20 °C is 3 to 16 day</w:t>
      </w:r>
      <w:r w:rsidRPr="006A55A9">
        <w:rPr>
          <w:vertAlign w:val="superscript"/>
        </w:rPr>
        <w:t>-1</w:t>
      </w:r>
      <w:r>
        <w:t>. It impacts biomass production, substrate utilization, and oxygen requirements. This parameter will be adjusted in the model calculations based on temperature.</w:t>
      </w:r>
    </w:p>
    <w:p w14:paraId="7ABB00C1" w14:textId="77777777" w:rsidR="001B4959" w:rsidRDefault="001B4959" w:rsidP="00CB3C92"/>
    <w:p w14:paraId="7318ED70" w14:textId="77777777" w:rsidR="001901C7" w:rsidRDefault="001901C7" w:rsidP="00CB3C92"/>
    <w:p w14:paraId="161F8659" w14:textId="32331A8C" w:rsidR="00096B3B" w:rsidRPr="00096B3B" w:rsidRDefault="00096B3B" w:rsidP="00096B3B">
      <w:pPr>
        <w:pStyle w:val="ListParagraph"/>
        <w:numPr>
          <w:ilvl w:val="0"/>
          <w:numId w:val="2"/>
        </w:numPr>
        <w:rPr>
          <w:b/>
        </w:rPr>
      </w:pPr>
      <w:r>
        <w:rPr>
          <w:b/>
        </w:rPr>
        <w:t>Bio-Tiger Model Aerator Performance Input Data</w:t>
      </w:r>
    </w:p>
    <w:p w14:paraId="5271B26A" w14:textId="77777777" w:rsidR="00096B3B" w:rsidRDefault="00096B3B" w:rsidP="00CB3C92"/>
    <w:p w14:paraId="6ED65B2E" w14:textId="48266C17" w:rsidR="00096B3B" w:rsidRDefault="00096B3B" w:rsidP="00CB3C92">
      <w:r>
        <w:t xml:space="preserve">The model gives the user the opportunity to evaluate the performance of aeration equipment in the activated sludge process. As noted in the “Introduction,” examining different aeration strategies may </w:t>
      </w:r>
      <w:r w:rsidR="000826F8">
        <w:t xml:space="preserve">lead to increased aeration efficiency, reduced energy use in kWh per month, reduced energy costs, more efficient denitrification, and other process improvements. </w:t>
      </w:r>
    </w:p>
    <w:p w14:paraId="4925BF3D" w14:textId="77777777" w:rsidR="000826F8" w:rsidRDefault="000826F8" w:rsidP="00CB3C92"/>
    <w:p w14:paraId="050D7B89" w14:textId="0408FF94" w:rsidR="000826F8" w:rsidRDefault="000826F8" w:rsidP="00CB3C92">
      <w:r>
        <w:t>An example of aerator performance input data</w:t>
      </w:r>
      <w:r w:rsidR="00334C58">
        <w:t xml:space="preserve"> for </w:t>
      </w:r>
      <w:r w:rsidR="00334C58" w:rsidRPr="00334C58">
        <w:rPr>
          <w:i/>
        </w:rPr>
        <w:t>existing conditions</w:t>
      </w:r>
      <w:r>
        <w:t xml:space="preserve"> </w:t>
      </w:r>
      <w:r w:rsidR="00402FC1">
        <w:t>is provided below:</w:t>
      </w:r>
    </w:p>
    <w:p w14:paraId="3923838B" w14:textId="77777777" w:rsidR="00402FC1" w:rsidRDefault="00402FC1" w:rsidP="00CB3C92"/>
    <w:p w14:paraId="1A2FD462" w14:textId="77777777" w:rsidR="00402FC1" w:rsidRDefault="00402FC1" w:rsidP="00CB3C92"/>
    <w:p w14:paraId="37F36F2C" w14:textId="77777777" w:rsidR="00402FC1" w:rsidRDefault="00402FC1" w:rsidP="00CB3C92"/>
    <w:p w14:paraId="10FCADF9" w14:textId="77777777" w:rsidR="00402FC1" w:rsidRDefault="00402FC1" w:rsidP="00CB3C92"/>
    <w:p w14:paraId="48AAEBC5" w14:textId="77777777" w:rsidR="00402FC1" w:rsidRDefault="00402FC1" w:rsidP="00CB3C92"/>
    <w:p w14:paraId="6023B4E3" w14:textId="77777777" w:rsidR="00402FC1" w:rsidRDefault="00402FC1" w:rsidP="00CB3C92"/>
    <w:p w14:paraId="54DF5DE0" w14:textId="77777777" w:rsidR="00402FC1" w:rsidRDefault="00402FC1" w:rsidP="00CB3C92"/>
    <w:p w14:paraId="18214C6B" w14:textId="77777777" w:rsidR="00402FC1" w:rsidRDefault="00402FC1" w:rsidP="00CB3C92"/>
    <w:p w14:paraId="507D69E1" w14:textId="77777777" w:rsidR="00402FC1" w:rsidRDefault="00402FC1" w:rsidP="00CB3C92"/>
    <w:p w14:paraId="446FEC32" w14:textId="77777777" w:rsidR="00402FC1" w:rsidRDefault="00402FC1" w:rsidP="00CB3C92"/>
    <w:tbl>
      <w:tblPr>
        <w:tblW w:w="4880" w:type="dxa"/>
        <w:jc w:val="center"/>
        <w:tblLook w:val="04A0" w:firstRow="1" w:lastRow="0" w:firstColumn="1" w:lastColumn="0" w:noHBand="0" w:noVBand="1"/>
      </w:tblPr>
      <w:tblGrid>
        <w:gridCol w:w="4183"/>
        <w:gridCol w:w="721"/>
      </w:tblGrid>
      <w:tr w:rsidR="00402FC1" w:rsidRPr="00402FC1" w14:paraId="3EC225C6" w14:textId="77777777" w:rsidTr="00402FC1">
        <w:trPr>
          <w:trHeight w:val="402"/>
          <w:jc w:val="center"/>
        </w:trPr>
        <w:tc>
          <w:tcPr>
            <w:tcW w:w="4880" w:type="dxa"/>
            <w:gridSpan w:val="2"/>
            <w:vMerge w:val="restart"/>
            <w:tcBorders>
              <w:top w:val="double" w:sz="6" w:space="0" w:color="auto"/>
              <w:left w:val="double" w:sz="6" w:space="0" w:color="auto"/>
              <w:bottom w:val="single" w:sz="8" w:space="0" w:color="000000"/>
              <w:right w:val="double" w:sz="6" w:space="0" w:color="000000"/>
            </w:tcBorders>
            <w:shd w:val="clear" w:color="000000" w:fill="2F75B5"/>
            <w:noWrap/>
            <w:vAlign w:val="center"/>
            <w:hideMark/>
          </w:tcPr>
          <w:p w14:paraId="240DC16D" w14:textId="77777777" w:rsidR="00402FC1" w:rsidRPr="00402FC1" w:rsidRDefault="00402FC1" w:rsidP="00402FC1">
            <w:pPr>
              <w:spacing w:line="240" w:lineRule="auto"/>
              <w:jc w:val="center"/>
              <w:rPr>
                <w:rFonts w:ascii="Calibri" w:eastAsia="Times New Roman" w:hAnsi="Calibri"/>
                <w:b/>
                <w:bCs/>
                <w:color w:val="FFFFFF"/>
              </w:rPr>
            </w:pPr>
            <w:r w:rsidRPr="00402FC1">
              <w:rPr>
                <w:rFonts w:ascii="Calibri" w:eastAsia="Times New Roman" w:hAnsi="Calibri"/>
                <w:b/>
                <w:bCs/>
                <w:color w:val="FFFFFF"/>
              </w:rPr>
              <w:lastRenderedPageBreak/>
              <w:t xml:space="preserve">Aerator Performance Data </w:t>
            </w:r>
          </w:p>
        </w:tc>
      </w:tr>
      <w:tr w:rsidR="00402FC1" w:rsidRPr="00402FC1" w14:paraId="0073D13C" w14:textId="77777777" w:rsidTr="00402FC1">
        <w:trPr>
          <w:trHeight w:val="402"/>
          <w:jc w:val="center"/>
        </w:trPr>
        <w:tc>
          <w:tcPr>
            <w:tcW w:w="4880" w:type="dxa"/>
            <w:gridSpan w:val="2"/>
            <w:vMerge/>
            <w:tcBorders>
              <w:top w:val="double" w:sz="6" w:space="0" w:color="auto"/>
              <w:left w:val="double" w:sz="6" w:space="0" w:color="auto"/>
              <w:bottom w:val="single" w:sz="8" w:space="0" w:color="000000"/>
              <w:right w:val="double" w:sz="6" w:space="0" w:color="000000"/>
            </w:tcBorders>
            <w:vAlign w:val="center"/>
            <w:hideMark/>
          </w:tcPr>
          <w:p w14:paraId="392FF918" w14:textId="77777777" w:rsidR="00402FC1" w:rsidRPr="00402FC1" w:rsidRDefault="00402FC1" w:rsidP="00402FC1">
            <w:pPr>
              <w:spacing w:line="240" w:lineRule="auto"/>
              <w:rPr>
                <w:rFonts w:ascii="Calibri" w:eastAsia="Times New Roman" w:hAnsi="Calibri"/>
                <w:b/>
                <w:bCs/>
                <w:color w:val="FFFFFF"/>
              </w:rPr>
            </w:pPr>
          </w:p>
        </w:tc>
      </w:tr>
      <w:tr w:rsidR="00402FC1" w:rsidRPr="00402FC1" w14:paraId="1D602896" w14:textId="77777777" w:rsidTr="00402FC1">
        <w:trPr>
          <w:trHeight w:val="402"/>
          <w:jc w:val="center"/>
        </w:trPr>
        <w:tc>
          <w:tcPr>
            <w:tcW w:w="4183" w:type="dxa"/>
            <w:tcBorders>
              <w:top w:val="nil"/>
              <w:left w:val="double" w:sz="6" w:space="0" w:color="auto"/>
              <w:bottom w:val="single" w:sz="4" w:space="0" w:color="auto"/>
              <w:right w:val="single" w:sz="4" w:space="0" w:color="auto"/>
            </w:tcBorders>
            <w:shd w:val="clear" w:color="000000" w:fill="9BC2E6"/>
            <w:noWrap/>
            <w:vAlign w:val="center"/>
            <w:hideMark/>
          </w:tcPr>
          <w:p w14:paraId="762E9128" w14:textId="77777777" w:rsidR="00402FC1" w:rsidRPr="00402FC1" w:rsidRDefault="00402FC1" w:rsidP="00402FC1">
            <w:pPr>
              <w:spacing w:line="240" w:lineRule="auto"/>
              <w:jc w:val="center"/>
              <w:rPr>
                <w:rFonts w:ascii="Calibri" w:eastAsia="Times New Roman" w:hAnsi="Calibri"/>
                <w:sz w:val="22"/>
                <w:szCs w:val="22"/>
              </w:rPr>
            </w:pPr>
            <w:r w:rsidRPr="00402FC1">
              <w:rPr>
                <w:rFonts w:ascii="Calibri" w:eastAsia="Times New Roman" w:hAnsi="Calibri"/>
                <w:sz w:val="22"/>
                <w:szCs w:val="22"/>
              </w:rPr>
              <w:t>Operating DO concentration (mg/L)</w:t>
            </w:r>
          </w:p>
        </w:tc>
        <w:tc>
          <w:tcPr>
            <w:tcW w:w="697" w:type="dxa"/>
            <w:tcBorders>
              <w:top w:val="nil"/>
              <w:left w:val="nil"/>
              <w:bottom w:val="single" w:sz="4" w:space="0" w:color="auto"/>
              <w:right w:val="double" w:sz="6" w:space="0" w:color="auto"/>
            </w:tcBorders>
            <w:shd w:val="clear" w:color="000000" w:fill="DDEBF7"/>
            <w:noWrap/>
            <w:vAlign w:val="center"/>
            <w:hideMark/>
          </w:tcPr>
          <w:p w14:paraId="7383ABBB" w14:textId="77777777" w:rsidR="00402FC1" w:rsidRPr="00402FC1" w:rsidRDefault="00402FC1" w:rsidP="00402FC1">
            <w:pPr>
              <w:spacing w:line="240" w:lineRule="auto"/>
              <w:jc w:val="center"/>
              <w:rPr>
                <w:rFonts w:ascii="Calibri" w:eastAsia="Times New Roman" w:hAnsi="Calibri"/>
                <w:b/>
                <w:bCs/>
                <w:sz w:val="22"/>
                <w:szCs w:val="22"/>
              </w:rPr>
            </w:pPr>
            <w:r w:rsidRPr="00402FC1">
              <w:rPr>
                <w:rFonts w:ascii="Calibri" w:eastAsia="Times New Roman" w:hAnsi="Calibri"/>
                <w:b/>
                <w:bCs/>
                <w:sz w:val="22"/>
                <w:szCs w:val="22"/>
              </w:rPr>
              <w:t>3.5</w:t>
            </w:r>
          </w:p>
        </w:tc>
      </w:tr>
      <w:tr w:rsidR="00402FC1" w:rsidRPr="00402FC1" w14:paraId="4BE72080" w14:textId="77777777" w:rsidTr="00402FC1">
        <w:trPr>
          <w:trHeight w:val="402"/>
          <w:jc w:val="center"/>
        </w:trPr>
        <w:tc>
          <w:tcPr>
            <w:tcW w:w="4183" w:type="dxa"/>
            <w:tcBorders>
              <w:top w:val="nil"/>
              <w:left w:val="double" w:sz="6" w:space="0" w:color="auto"/>
              <w:bottom w:val="single" w:sz="4" w:space="0" w:color="auto"/>
              <w:right w:val="single" w:sz="4" w:space="0" w:color="auto"/>
            </w:tcBorders>
            <w:shd w:val="clear" w:color="000000" w:fill="9BC2E6"/>
            <w:noWrap/>
            <w:vAlign w:val="center"/>
            <w:hideMark/>
          </w:tcPr>
          <w:p w14:paraId="0D01BB84" w14:textId="77777777" w:rsidR="00402FC1" w:rsidRPr="00402FC1" w:rsidRDefault="00402FC1" w:rsidP="00402FC1">
            <w:pPr>
              <w:spacing w:line="240" w:lineRule="auto"/>
              <w:jc w:val="center"/>
              <w:rPr>
                <w:rFonts w:ascii="Calibri" w:eastAsia="Times New Roman" w:hAnsi="Calibri"/>
                <w:sz w:val="22"/>
                <w:szCs w:val="22"/>
              </w:rPr>
            </w:pPr>
            <w:r w:rsidRPr="00402FC1">
              <w:rPr>
                <w:rFonts w:ascii="Calibri" w:eastAsia="Times New Roman" w:hAnsi="Calibri"/>
                <w:sz w:val="22"/>
                <w:szCs w:val="22"/>
              </w:rPr>
              <w:t>alpha</w:t>
            </w:r>
          </w:p>
        </w:tc>
        <w:tc>
          <w:tcPr>
            <w:tcW w:w="697" w:type="dxa"/>
            <w:tcBorders>
              <w:top w:val="nil"/>
              <w:left w:val="nil"/>
              <w:bottom w:val="single" w:sz="4" w:space="0" w:color="auto"/>
              <w:right w:val="double" w:sz="6" w:space="0" w:color="auto"/>
            </w:tcBorders>
            <w:shd w:val="clear" w:color="000000" w:fill="DDEBF7"/>
            <w:noWrap/>
            <w:vAlign w:val="center"/>
            <w:hideMark/>
          </w:tcPr>
          <w:p w14:paraId="16837333" w14:textId="77777777" w:rsidR="00402FC1" w:rsidRPr="00402FC1" w:rsidRDefault="00402FC1" w:rsidP="00402FC1">
            <w:pPr>
              <w:spacing w:line="240" w:lineRule="auto"/>
              <w:jc w:val="center"/>
              <w:rPr>
                <w:rFonts w:ascii="Calibri" w:eastAsia="Times New Roman" w:hAnsi="Calibri"/>
                <w:b/>
                <w:bCs/>
                <w:sz w:val="22"/>
                <w:szCs w:val="22"/>
              </w:rPr>
            </w:pPr>
            <w:r w:rsidRPr="00402FC1">
              <w:rPr>
                <w:rFonts w:ascii="Calibri" w:eastAsia="Times New Roman" w:hAnsi="Calibri"/>
                <w:b/>
                <w:bCs/>
                <w:sz w:val="22"/>
                <w:szCs w:val="22"/>
              </w:rPr>
              <w:t>0.84</w:t>
            </w:r>
          </w:p>
        </w:tc>
      </w:tr>
      <w:tr w:rsidR="00402FC1" w:rsidRPr="00402FC1" w14:paraId="3DB2E2C0" w14:textId="77777777" w:rsidTr="00402FC1">
        <w:trPr>
          <w:trHeight w:val="402"/>
          <w:jc w:val="center"/>
        </w:trPr>
        <w:tc>
          <w:tcPr>
            <w:tcW w:w="4183" w:type="dxa"/>
            <w:tcBorders>
              <w:top w:val="nil"/>
              <w:left w:val="double" w:sz="6" w:space="0" w:color="auto"/>
              <w:bottom w:val="single" w:sz="4" w:space="0" w:color="auto"/>
              <w:right w:val="single" w:sz="4" w:space="0" w:color="auto"/>
            </w:tcBorders>
            <w:shd w:val="clear" w:color="000000" w:fill="9BC2E6"/>
            <w:noWrap/>
            <w:vAlign w:val="center"/>
            <w:hideMark/>
          </w:tcPr>
          <w:p w14:paraId="7CD6B872" w14:textId="77777777" w:rsidR="00402FC1" w:rsidRPr="00402FC1" w:rsidRDefault="00402FC1" w:rsidP="00402FC1">
            <w:pPr>
              <w:spacing w:line="240" w:lineRule="auto"/>
              <w:jc w:val="center"/>
              <w:rPr>
                <w:rFonts w:ascii="Calibri" w:eastAsia="Times New Roman" w:hAnsi="Calibri"/>
                <w:sz w:val="22"/>
                <w:szCs w:val="22"/>
              </w:rPr>
            </w:pPr>
            <w:r w:rsidRPr="00402FC1">
              <w:rPr>
                <w:rFonts w:ascii="Calibri" w:eastAsia="Times New Roman" w:hAnsi="Calibri"/>
                <w:sz w:val="22"/>
                <w:szCs w:val="22"/>
              </w:rPr>
              <w:t>beta</w:t>
            </w:r>
          </w:p>
        </w:tc>
        <w:tc>
          <w:tcPr>
            <w:tcW w:w="697" w:type="dxa"/>
            <w:tcBorders>
              <w:top w:val="nil"/>
              <w:left w:val="nil"/>
              <w:bottom w:val="single" w:sz="4" w:space="0" w:color="auto"/>
              <w:right w:val="double" w:sz="6" w:space="0" w:color="auto"/>
            </w:tcBorders>
            <w:shd w:val="clear" w:color="000000" w:fill="DDEBF7"/>
            <w:noWrap/>
            <w:vAlign w:val="center"/>
            <w:hideMark/>
          </w:tcPr>
          <w:p w14:paraId="546EE779" w14:textId="77777777" w:rsidR="00402FC1" w:rsidRPr="00402FC1" w:rsidRDefault="00402FC1" w:rsidP="00402FC1">
            <w:pPr>
              <w:spacing w:line="240" w:lineRule="auto"/>
              <w:jc w:val="center"/>
              <w:rPr>
                <w:rFonts w:ascii="Calibri" w:eastAsia="Times New Roman" w:hAnsi="Calibri"/>
                <w:b/>
                <w:bCs/>
                <w:sz w:val="22"/>
                <w:szCs w:val="22"/>
              </w:rPr>
            </w:pPr>
            <w:r w:rsidRPr="00402FC1">
              <w:rPr>
                <w:rFonts w:ascii="Calibri" w:eastAsia="Times New Roman" w:hAnsi="Calibri"/>
                <w:b/>
                <w:bCs/>
                <w:sz w:val="22"/>
                <w:szCs w:val="22"/>
              </w:rPr>
              <w:t>0.92</w:t>
            </w:r>
          </w:p>
        </w:tc>
      </w:tr>
      <w:tr w:rsidR="00402FC1" w:rsidRPr="00402FC1" w14:paraId="670632A2" w14:textId="77777777" w:rsidTr="00402FC1">
        <w:trPr>
          <w:trHeight w:val="402"/>
          <w:jc w:val="center"/>
        </w:trPr>
        <w:tc>
          <w:tcPr>
            <w:tcW w:w="4183" w:type="dxa"/>
            <w:tcBorders>
              <w:top w:val="nil"/>
              <w:left w:val="double" w:sz="6" w:space="0" w:color="auto"/>
              <w:bottom w:val="single" w:sz="4" w:space="0" w:color="auto"/>
              <w:right w:val="single" w:sz="4" w:space="0" w:color="auto"/>
            </w:tcBorders>
            <w:shd w:val="clear" w:color="000000" w:fill="9BC2E6"/>
            <w:noWrap/>
            <w:vAlign w:val="center"/>
            <w:hideMark/>
          </w:tcPr>
          <w:p w14:paraId="12B1B8C5" w14:textId="77777777" w:rsidR="00402FC1" w:rsidRPr="00402FC1" w:rsidRDefault="00402FC1" w:rsidP="00402FC1">
            <w:pPr>
              <w:spacing w:line="240" w:lineRule="auto"/>
              <w:jc w:val="center"/>
              <w:rPr>
                <w:rFonts w:ascii="Calibri" w:eastAsia="Times New Roman" w:hAnsi="Calibri"/>
                <w:sz w:val="22"/>
                <w:szCs w:val="22"/>
              </w:rPr>
            </w:pPr>
            <w:r w:rsidRPr="00402FC1">
              <w:rPr>
                <w:rFonts w:ascii="Calibri" w:eastAsia="Times New Roman" w:hAnsi="Calibri"/>
                <w:sz w:val="22"/>
                <w:szCs w:val="22"/>
              </w:rPr>
              <w:t xml:space="preserve">SOTR, </w:t>
            </w:r>
            <w:proofErr w:type="spellStart"/>
            <w:r w:rsidRPr="00402FC1">
              <w:rPr>
                <w:rFonts w:ascii="Calibri" w:eastAsia="Times New Roman" w:hAnsi="Calibri"/>
                <w:sz w:val="22"/>
                <w:szCs w:val="22"/>
              </w:rPr>
              <w:t>lb</w:t>
            </w:r>
            <w:proofErr w:type="spellEnd"/>
            <w:r w:rsidRPr="00402FC1">
              <w:rPr>
                <w:rFonts w:ascii="Calibri" w:eastAsia="Times New Roman" w:hAnsi="Calibri"/>
                <w:sz w:val="22"/>
                <w:szCs w:val="22"/>
              </w:rPr>
              <w:t xml:space="preserve"> O2 / </w:t>
            </w:r>
            <w:proofErr w:type="spellStart"/>
            <w:r w:rsidRPr="00402FC1">
              <w:rPr>
                <w:rFonts w:ascii="Calibri" w:eastAsia="Times New Roman" w:hAnsi="Calibri"/>
                <w:sz w:val="22"/>
                <w:szCs w:val="22"/>
              </w:rPr>
              <w:t>hp-hr</w:t>
            </w:r>
            <w:proofErr w:type="spellEnd"/>
          </w:p>
        </w:tc>
        <w:tc>
          <w:tcPr>
            <w:tcW w:w="697" w:type="dxa"/>
            <w:tcBorders>
              <w:top w:val="nil"/>
              <w:left w:val="nil"/>
              <w:bottom w:val="single" w:sz="4" w:space="0" w:color="auto"/>
              <w:right w:val="double" w:sz="6" w:space="0" w:color="auto"/>
            </w:tcBorders>
            <w:shd w:val="clear" w:color="000000" w:fill="DDEBF7"/>
            <w:noWrap/>
            <w:vAlign w:val="center"/>
            <w:hideMark/>
          </w:tcPr>
          <w:p w14:paraId="470A08F3" w14:textId="77777777" w:rsidR="00402FC1" w:rsidRPr="00402FC1" w:rsidRDefault="00402FC1" w:rsidP="00402FC1">
            <w:pPr>
              <w:spacing w:line="240" w:lineRule="auto"/>
              <w:jc w:val="center"/>
              <w:rPr>
                <w:rFonts w:ascii="Calibri" w:eastAsia="Times New Roman" w:hAnsi="Calibri"/>
                <w:b/>
                <w:bCs/>
                <w:sz w:val="22"/>
                <w:szCs w:val="22"/>
              </w:rPr>
            </w:pPr>
            <w:r w:rsidRPr="00402FC1">
              <w:rPr>
                <w:rFonts w:ascii="Calibri" w:eastAsia="Times New Roman" w:hAnsi="Calibri"/>
                <w:b/>
                <w:bCs/>
                <w:sz w:val="22"/>
                <w:szCs w:val="22"/>
              </w:rPr>
              <w:t>3.1</w:t>
            </w:r>
          </w:p>
        </w:tc>
      </w:tr>
      <w:tr w:rsidR="00402FC1" w:rsidRPr="00402FC1" w14:paraId="0F6CC9D4" w14:textId="77777777" w:rsidTr="00402FC1">
        <w:trPr>
          <w:trHeight w:val="402"/>
          <w:jc w:val="center"/>
        </w:trPr>
        <w:tc>
          <w:tcPr>
            <w:tcW w:w="4183" w:type="dxa"/>
            <w:tcBorders>
              <w:top w:val="nil"/>
              <w:left w:val="double" w:sz="6" w:space="0" w:color="auto"/>
              <w:bottom w:val="single" w:sz="4" w:space="0" w:color="auto"/>
              <w:right w:val="single" w:sz="4" w:space="0" w:color="auto"/>
            </w:tcBorders>
            <w:shd w:val="clear" w:color="000000" w:fill="9BC2E6"/>
            <w:noWrap/>
            <w:vAlign w:val="center"/>
            <w:hideMark/>
          </w:tcPr>
          <w:p w14:paraId="73D16151" w14:textId="77777777" w:rsidR="00402FC1" w:rsidRPr="00402FC1" w:rsidRDefault="00402FC1" w:rsidP="00402FC1">
            <w:pPr>
              <w:spacing w:line="240" w:lineRule="auto"/>
              <w:jc w:val="center"/>
              <w:rPr>
                <w:rFonts w:ascii="Calibri" w:eastAsia="Times New Roman" w:hAnsi="Calibri"/>
                <w:sz w:val="22"/>
                <w:szCs w:val="22"/>
              </w:rPr>
            </w:pPr>
            <w:r w:rsidRPr="00402FC1">
              <w:rPr>
                <w:rFonts w:ascii="Calibri" w:eastAsia="Times New Roman" w:hAnsi="Calibri"/>
                <w:sz w:val="22"/>
                <w:szCs w:val="22"/>
              </w:rPr>
              <w:t>Temperature (°C)</w:t>
            </w:r>
          </w:p>
        </w:tc>
        <w:tc>
          <w:tcPr>
            <w:tcW w:w="697" w:type="dxa"/>
            <w:tcBorders>
              <w:top w:val="nil"/>
              <w:left w:val="nil"/>
              <w:bottom w:val="single" w:sz="4" w:space="0" w:color="auto"/>
              <w:right w:val="double" w:sz="6" w:space="0" w:color="auto"/>
            </w:tcBorders>
            <w:shd w:val="clear" w:color="000000" w:fill="DDEBF7"/>
            <w:noWrap/>
            <w:vAlign w:val="center"/>
            <w:hideMark/>
          </w:tcPr>
          <w:p w14:paraId="428F52EB" w14:textId="77777777" w:rsidR="00402FC1" w:rsidRPr="00402FC1" w:rsidRDefault="00402FC1" w:rsidP="00402FC1">
            <w:pPr>
              <w:spacing w:line="240" w:lineRule="auto"/>
              <w:jc w:val="center"/>
              <w:rPr>
                <w:rFonts w:ascii="Calibri" w:eastAsia="Times New Roman" w:hAnsi="Calibri"/>
                <w:b/>
                <w:bCs/>
                <w:sz w:val="22"/>
                <w:szCs w:val="22"/>
              </w:rPr>
            </w:pPr>
            <w:r w:rsidRPr="00402FC1">
              <w:rPr>
                <w:rFonts w:ascii="Calibri" w:eastAsia="Times New Roman" w:hAnsi="Calibri"/>
                <w:b/>
                <w:bCs/>
                <w:sz w:val="22"/>
                <w:szCs w:val="22"/>
              </w:rPr>
              <w:t>20</w:t>
            </w:r>
          </w:p>
        </w:tc>
      </w:tr>
      <w:tr w:rsidR="00402FC1" w:rsidRPr="00402FC1" w14:paraId="66E9049C" w14:textId="77777777" w:rsidTr="00402FC1">
        <w:trPr>
          <w:trHeight w:val="402"/>
          <w:jc w:val="center"/>
        </w:trPr>
        <w:tc>
          <w:tcPr>
            <w:tcW w:w="4183" w:type="dxa"/>
            <w:tcBorders>
              <w:top w:val="nil"/>
              <w:left w:val="double" w:sz="6" w:space="0" w:color="auto"/>
              <w:bottom w:val="single" w:sz="4" w:space="0" w:color="auto"/>
              <w:right w:val="single" w:sz="4" w:space="0" w:color="auto"/>
            </w:tcBorders>
            <w:shd w:val="clear" w:color="000000" w:fill="9BC2E6"/>
            <w:noWrap/>
            <w:vAlign w:val="center"/>
            <w:hideMark/>
          </w:tcPr>
          <w:p w14:paraId="5B87964B" w14:textId="77777777" w:rsidR="00402FC1" w:rsidRPr="00402FC1" w:rsidRDefault="00402FC1" w:rsidP="00402FC1">
            <w:pPr>
              <w:spacing w:line="240" w:lineRule="auto"/>
              <w:jc w:val="center"/>
              <w:rPr>
                <w:rFonts w:ascii="Calibri" w:eastAsia="Times New Roman" w:hAnsi="Calibri"/>
                <w:sz w:val="22"/>
                <w:szCs w:val="22"/>
              </w:rPr>
            </w:pPr>
            <w:r w:rsidRPr="00402FC1">
              <w:rPr>
                <w:rFonts w:ascii="Calibri" w:eastAsia="Times New Roman" w:hAnsi="Calibri"/>
                <w:sz w:val="22"/>
                <w:szCs w:val="22"/>
              </w:rPr>
              <w:t>Aeration (</w:t>
            </w:r>
            <w:proofErr w:type="spellStart"/>
            <w:r w:rsidRPr="00402FC1">
              <w:rPr>
                <w:rFonts w:ascii="Calibri" w:eastAsia="Times New Roman" w:hAnsi="Calibri"/>
                <w:sz w:val="22"/>
                <w:szCs w:val="22"/>
              </w:rPr>
              <w:t>hp</w:t>
            </w:r>
            <w:proofErr w:type="spellEnd"/>
            <w:r w:rsidRPr="00402FC1">
              <w:rPr>
                <w:rFonts w:ascii="Calibri" w:eastAsia="Times New Roman" w:hAnsi="Calibri"/>
                <w:sz w:val="22"/>
                <w:szCs w:val="22"/>
              </w:rPr>
              <w:t>) being operated</w:t>
            </w:r>
          </w:p>
        </w:tc>
        <w:tc>
          <w:tcPr>
            <w:tcW w:w="697" w:type="dxa"/>
            <w:tcBorders>
              <w:top w:val="nil"/>
              <w:left w:val="nil"/>
              <w:bottom w:val="single" w:sz="4" w:space="0" w:color="auto"/>
              <w:right w:val="double" w:sz="6" w:space="0" w:color="auto"/>
            </w:tcBorders>
            <w:shd w:val="clear" w:color="000000" w:fill="DDEBF7"/>
            <w:noWrap/>
            <w:vAlign w:val="center"/>
            <w:hideMark/>
          </w:tcPr>
          <w:p w14:paraId="7B9D91A3" w14:textId="77777777" w:rsidR="00402FC1" w:rsidRPr="00402FC1" w:rsidRDefault="00402FC1" w:rsidP="00402FC1">
            <w:pPr>
              <w:spacing w:line="240" w:lineRule="auto"/>
              <w:jc w:val="center"/>
              <w:rPr>
                <w:rFonts w:ascii="Calibri" w:eastAsia="Times New Roman" w:hAnsi="Calibri"/>
                <w:b/>
                <w:bCs/>
                <w:sz w:val="22"/>
                <w:szCs w:val="22"/>
              </w:rPr>
            </w:pPr>
            <w:r w:rsidRPr="00402FC1">
              <w:rPr>
                <w:rFonts w:ascii="Calibri" w:eastAsia="Times New Roman" w:hAnsi="Calibri"/>
                <w:b/>
                <w:bCs/>
                <w:sz w:val="22"/>
                <w:szCs w:val="22"/>
              </w:rPr>
              <w:t>255</w:t>
            </w:r>
          </w:p>
        </w:tc>
      </w:tr>
      <w:tr w:rsidR="00402FC1" w:rsidRPr="00402FC1" w14:paraId="7FD02CAE" w14:textId="77777777" w:rsidTr="00402FC1">
        <w:trPr>
          <w:trHeight w:val="402"/>
          <w:jc w:val="center"/>
        </w:trPr>
        <w:tc>
          <w:tcPr>
            <w:tcW w:w="4183" w:type="dxa"/>
            <w:tcBorders>
              <w:top w:val="nil"/>
              <w:left w:val="double" w:sz="6" w:space="0" w:color="auto"/>
              <w:bottom w:val="single" w:sz="4" w:space="0" w:color="auto"/>
              <w:right w:val="single" w:sz="4" w:space="0" w:color="auto"/>
            </w:tcBorders>
            <w:shd w:val="clear" w:color="000000" w:fill="9BC2E6"/>
            <w:noWrap/>
            <w:vAlign w:val="center"/>
            <w:hideMark/>
          </w:tcPr>
          <w:p w14:paraId="1462D22E" w14:textId="77777777" w:rsidR="00402FC1" w:rsidRPr="00402FC1" w:rsidRDefault="00402FC1" w:rsidP="00402FC1">
            <w:pPr>
              <w:spacing w:line="240" w:lineRule="auto"/>
              <w:jc w:val="center"/>
              <w:rPr>
                <w:rFonts w:ascii="Calibri" w:eastAsia="Times New Roman" w:hAnsi="Calibri"/>
                <w:sz w:val="22"/>
                <w:szCs w:val="22"/>
              </w:rPr>
            </w:pPr>
            <w:r w:rsidRPr="00402FC1">
              <w:rPr>
                <w:rFonts w:ascii="Calibri" w:eastAsia="Times New Roman" w:hAnsi="Calibri"/>
                <w:sz w:val="22"/>
                <w:szCs w:val="22"/>
              </w:rPr>
              <w:t>Elevation (</w:t>
            </w:r>
            <w:proofErr w:type="spellStart"/>
            <w:r w:rsidRPr="00402FC1">
              <w:rPr>
                <w:rFonts w:ascii="Calibri" w:eastAsia="Times New Roman" w:hAnsi="Calibri"/>
                <w:sz w:val="22"/>
                <w:szCs w:val="22"/>
              </w:rPr>
              <w:t>ft</w:t>
            </w:r>
            <w:proofErr w:type="spellEnd"/>
            <w:r w:rsidRPr="00402FC1">
              <w:rPr>
                <w:rFonts w:ascii="Calibri" w:eastAsia="Times New Roman" w:hAnsi="Calibri"/>
                <w:sz w:val="22"/>
                <w:szCs w:val="22"/>
              </w:rPr>
              <w:t>)</w:t>
            </w:r>
          </w:p>
        </w:tc>
        <w:tc>
          <w:tcPr>
            <w:tcW w:w="697" w:type="dxa"/>
            <w:tcBorders>
              <w:top w:val="nil"/>
              <w:left w:val="nil"/>
              <w:bottom w:val="single" w:sz="4" w:space="0" w:color="auto"/>
              <w:right w:val="double" w:sz="6" w:space="0" w:color="auto"/>
            </w:tcBorders>
            <w:shd w:val="clear" w:color="000000" w:fill="DDEBF7"/>
            <w:noWrap/>
            <w:vAlign w:val="center"/>
            <w:hideMark/>
          </w:tcPr>
          <w:p w14:paraId="2E25EBB4" w14:textId="77777777" w:rsidR="00402FC1" w:rsidRPr="00402FC1" w:rsidRDefault="00402FC1" w:rsidP="00402FC1">
            <w:pPr>
              <w:spacing w:line="240" w:lineRule="auto"/>
              <w:jc w:val="center"/>
              <w:rPr>
                <w:rFonts w:ascii="Calibri" w:eastAsia="Times New Roman" w:hAnsi="Calibri"/>
                <w:b/>
                <w:bCs/>
                <w:sz w:val="22"/>
                <w:szCs w:val="22"/>
              </w:rPr>
            </w:pPr>
            <w:r w:rsidRPr="00402FC1">
              <w:rPr>
                <w:rFonts w:ascii="Calibri" w:eastAsia="Times New Roman" w:hAnsi="Calibri"/>
                <w:b/>
                <w:bCs/>
                <w:sz w:val="22"/>
                <w:szCs w:val="22"/>
              </w:rPr>
              <w:t>400</w:t>
            </w:r>
          </w:p>
        </w:tc>
      </w:tr>
      <w:tr w:rsidR="00402FC1" w:rsidRPr="00402FC1" w14:paraId="330E1FD3" w14:textId="77777777" w:rsidTr="00402FC1">
        <w:trPr>
          <w:trHeight w:val="402"/>
          <w:jc w:val="center"/>
        </w:trPr>
        <w:tc>
          <w:tcPr>
            <w:tcW w:w="4183" w:type="dxa"/>
            <w:tcBorders>
              <w:top w:val="nil"/>
              <w:left w:val="double" w:sz="6" w:space="0" w:color="auto"/>
              <w:bottom w:val="single" w:sz="4" w:space="0" w:color="auto"/>
              <w:right w:val="single" w:sz="4" w:space="0" w:color="auto"/>
            </w:tcBorders>
            <w:shd w:val="clear" w:color="000000" w:fill="9BC2E6"/>
            <w:noWrap/>
            <w:vAlign w:val="center"/>
            <w:hideMark/>
          </w:tcPr>
          <w:p w14:paraId="704F1CAC" w14:textId="77777777" w:rsidR="00402FC1" w:rsidRPr="00402FC1" w:rsidRDefault="00402FC1" w:rsidP="00402FC1">
            <w:pPr>
              <w:spacing w:line="240" w:lineRule="auto"/>
              <w:jc w:val="center"/>
              <w:rPr>
                <w:rFonts w:ascii="Calibri" w:eastAsia="Times New Roman" w:hAnsi="Calibri"/>
                <w:sz w:val="22"/>
                <w:szCs w:val="22"/>
              </w:rPr>
            </w:pPr>
            <w:r w:rsidRPr="00402FC1">
              <w:rPr>
                <w:rFonts w:ascii="Calibri" w:eastAsia="Times New Roman" w:hAnsi="Calibri"/>
                <w:sz w:val="22"/>
                <w:szCs w:val="22"/>
              </w:rPr>
              <w:t>Aerators operating time (</w:t>
            </w:r>
            <w:proofErr w:type="spellStart"/>
            <w:r w:rsidRPr="00402FC1">
              <w:rPr>
                <w:rFonts w:ascii="Calibri" w:eastAsia="Times New Roman" w:hAnsi="Calibri"/>
                <w:sz w:val="22"/>
                <w:szCs w:val="22"/>
              </w:rPr>
              <w:t>hr</w:t>
            </w:r>
            <w:proofErr w:type="spellEnd"/>
            <w:r w:rsidRPr="00402FC1">
              <w:rPr>
                <w:rFonts w:ascii="Calibri" w:eastAsia="Times New Roman" w:hAnsi="Calibri"/>
                <w:sz w:val="22"/>
                <w:szCs w:val="22"/>
              </w:rPr>
              <w:t>/day)</w:t>
            </w:r>
          </w:p>
        </w:tc>
        <w:tc>
          <w:tcPr>
            <w:tcW w:w="697" w:type="dxa"/>
            <w:tcBorders>
              <w:top w:val="nil"/>
              <w:left w:val="nil"/>
              <w:bottom w:val="single" w:sz="4" w:space="0" w:color="auto"/>
              <w:right w:val="double" w:sz="6" w:space="0" w:color="auto"/>
            </w:tcBorders>
            <w:shd w:val="clear" w:color="000000" w:fill="DDEBF7"/>
            <w:noWrap/>
            <w:vAlign w:val="center"/>
            <w:hideMark/>
          </w:tcPr>
          <w:p w14:paraId="260BF04A" w14:textId="77777777" w:rsidR="00402FC1" w:rsidRPr="00402FC1" w:rsidRDefault="00402FC1" w:rsidP="00402FC1">
            <w:pPr>
              <w:spacing w:line="240" w:lineRule="auto"/>
              <w:jc w:val="center"/>
              <w:rPr>
                <w:rFonts w:ascii="Calibri" w:eastAsia="Times New Roman" w:hAnsi="Calibri"/>
                <w:b/>
                <w:bCs/>
                <w:sz w:val="22"/>
                <w:szCs w:val="22"/>
              </w:rPr>
            </w:pPr>
            <w:r w:rsidRPr="00402FC1">
              <w:rPr>
                <w:rFonts w:ascii="Calibri" w:eastAsia="Times New Roman" w:hAnsi="Calibri"/>
                <w:b/>
                <w:bCs/>
                <w:sz w:val="22"/>
                <w:szCs w:val="22"/>
              </w:rPr>
              <w:t>24</w:t>
            </w:r>
          </w:p>
        </w:tc>
      </w:tr>
      <w:tr w:rsidR="00402FC1" w:rsidRPr="00402FC1" w14:paraId="5BEBA4C7" w14:textId="77777777" w:rsidTr="00402FC1">
        <w:trPr>
          <w:trHeight w:val="402"/>
          <w:jc w:val="center"/>
        </w:trPr>
        <w:tc>
          <w:tcPr>
            <w:tcW w:w="4183" w:type="dxa"/>
            <w:tcBorders>
              <w:top w:val="nil"/>
              <w:left w:val="double" w:sz="6" w:space="0" w:color="auto"/>
              <w:bottom w:val="single" w:sz="4" w:space="0" w:color="auto"/>
              <w:right w:val="single" w:sz="4" w:space="0" w:color="auto"/>
            </w:tcBorders>
            <w:shd w:val="clear" w:color="000000" w:fill="9BC2E6"/>
            <w:noWrap/>
            <w:vAlign w:val="center"/>
            <w:hideMark/>
          </w:tcPr>
          <w:p w14:paraId="3FE7AC6E" w14:textId="77777777" w:rsidR="00402FC1" w:rsidRPr="00402FC1" w:rsidRDefault="00402FC1" w:rsidP="00402FC1">
            <w:pPr>
              <w:spacing w:line="240" w:lineRule="auto"/>
              <w:jc w:val="center"/>
              <w:rPr>
                <w:rFonts w:ascii="Calibri" w:eastAsia="Times New Roman" w:hAnsi="Calibri"/>
                <w:sz w:val="22"/>
                <w:szCs w:val="22"/>
              </w:rPr>
            </w:pPr>
            <w:r w:rsidRPr="00402FC1">
              <w:rPr>
                <w:rFonts w:ascii="Calibri" w:eastAsia="Times New Roman" w:hAnsi="Calibri"/>
                <w:sz w:val="22"/>
                <w:szCs w:val="22"/>
              </w:rPr>
              <w:t>Type of aerators (1, 2, or 3)</w:t>
            </w:r>
          </w:p>
        </w:tc>
        <w:tc>
          <w:tcPr>
            <w:tcW w:w="697" w:type="dxa"/>
            <w:tcBorders>
              <w:top w:val="nil"/>
              <w:left w:val="nil"/>
              <w:bottom w:val="single" w:sz="4" w:space="0" w:color="auto"/>
              <w:right w:val="double" w:sz="6" w:space="0" w:color="auto"/>
            </w:tcBorders>
            <w:shd w:val="clear" w:color="000000" w:fill="DDEBF7"/>
            <w:noWrap/>
            <w:vAlign w:val="center"/>
            <w:hideMark/>
          </w:tcPr>
          <w:p w14:paraId="35CEDC71" w14:textId="77777777" w:rsidR="00402FC1" w:rsidRPr="00402FC1" w:rsidRDefault="00402FC1" w:rsidP="00402FC1">
            <w:pPr>
              <w:spacing w:line="240" w:lineRule="auto"/>
              <w:jc w:val="center"/>
              <w:rPr>
                <w:rFonts w:ascii="Calibri" w:eastAsia="Times New Roman" w:hAnsi="Calibri"/>
                <w:b/>
                <w:bCs/>
                <w:sz w:val="22"/>
                <w:szCs w:val="22"/>
              </w:rPr>
            </w:pPr>
            <w:r w:rsidRPr="00402FC1">
              <w:rPr>
                <w:rFonts w:ascii="Calibri" w:eastAsia="Times New Roman" w:hAnsi="Calibri"/>
                <w:b/>
                <w:bCs/>
                <w:sz w:val="22"/>
                <w:szCs w:val="22"/>
              </w:rPr>
              <w:t>2</w:t>
            </w:r>
          </w:p>
        </w:tc>
      </w:tr>
      <w:tr w:rsidR="00402FC1" w:rsidRPr="00402FC1" w14:paraId="49EE889C" w14:textId="77777777" w:rsidTr="00402FC1">
        <w:trPr>
          <w:trHeight w:val="402"/>
          <w:jc w:val="center"/>
        </w:trPr>
        <w:tc>
          <w:tcPr>
            <w:tcW w:w="4183" w:type="dxa"/>
            <w:tcBorders>
              <w:top w:val="nil"/>
              <w:left w:val="double" w:sz="6" w:space="0" w:color="auto"/>
              <w:bottom w:val="single" w:sz="4" w:space="0" w:color="auto"/>
              <w:right w:val="single" w:sz="4" w:space="0" w:color="auto"/>
            </w:tcBorders>
            <w:shd w:val="clear" w:color="000000" w:fill="9BC2E6"/>
            <w:noWrap/>
            <w:vAlign w:val="center"/>
            <w:hideMark/>
          </w:tcPr>
          <w:p w14:paraId="7A1D5C4D" w14:textId="77777777" w:rsidR="00402FC1" w:rsidRPr="00402FC1" w:rsidRDefault="00402FC1" w:rsidP="00402FC1">
            <w:pPr>
              <w:spacing w:line="240" w:lineRule="auto"/>
              <w:jc w:val="center"/>
              <w:rPr>
                <w:rFonts w:ascii="Calibri" w:eastAsia="Times New Roman" w:hAnsi="Calibri"/>
                <w:sz w:val="22"/>
                <w:szCs w:val="22"/>
              </w:rPr>
            </w:pPr>
            <w:r w:rsidRPr="00402FC1">
              <w:rPr>
                <w:rFonts w:ascii="Calibri" w:eastAsia="Times New Roman" w:hAnsi="Calibri"/>
                <w:sz w:val="22"/>
                <w:szCs w:val="22"/>
              </w:rPr>
              <w:t>Speed of aerators (%)</w:t>
            </w:r>
          </w:p>
        </w:tc>
        <w:tc>
          <w:tcPr>
            <w:tcW w:w="697" w:type="dxa"/>
            <w:tcBorders>
              <w:top w:val="nil"/>
              <w:left w:val="nil"/>
              <w:bottom w:val="single" w:sz="4" w:space="0" w:color="auto"/>
              <w:right w:val="double" w:sz="6" w:space="0" w:color="auto"/>
            </w:tcBorders>
            <w:shd w:val="clear" w:color="000000" w:fill="DDEBF7"/>
            <w:noWrap/>
            <w:vAlign w:val="center"/>
            <w:hideMark/>
          </w:tcPr>
          <w:p w14:paraId="536AF965" w14:textId="77777777" w:rsidR="00402FC1" w:rsidRPr="00402FC1" w:rsidRDefault="00402FC1" w:rsidP="00402FC1">
            <w:pPr>
              <w:spacing w:line="240" w:lineRule="auto"/>
              <w:jc w:val="center"/>
              <w:rPr>
                <w:rFonts w:ascii="Calibri" w:eastAsia="Times New Roman" w:hAnsi="Calibri"/>
                <w:b/>
                <w:bCs/>
                <w:sz w:val="22"/>
                <w:szCs w:val="22"/>
              </w:rPr>
            </w:pPr>
            <w:r w:rsidRPr="00402FC1">
              <w:rPr>
                <w:rFonts w:ascii="Calibri" w:eastAsia="Times New Roman" w:hAnsi="Calibri"/>
                <w:b/>
                <w:bCs/>
                <w:sz w:val="22"/>
                <w:szCs w:val="22"/>
              </w:rPr>
              <w:t>70</w:t>
            </w:r>
          </w:p>
        </w:tc>
      </w:tr>
      <w:tr w:rsidR="00402FC1" w:rsidRPr="00402FC1" w14:paraId="7B7031B5" w14:textId="77777777" w:rsidTr="00402FC1">
        <w:trPr>
          <w:trHeight w:val="402"/>
          <w:jc w:val="center"/>
        </w:trPr>
        <w:tc>
          <w:tcPr>
            <w:tcW w:w="4183" w:type="dxa"/>
            <w:tcBorders>
              <w:top w:val="nil"/>
              <w:left w:val="double" w:sz="6" w:space="0" w:color="auto"/>
              <w:bottom w:val="double" w:sz="6" w:space="0" w:color="auto"/>
              <w:right w:val="single" w:sz="4" w:space="0" w:color="auto"/>
            </w:tcBorders>
            <w:shd w:val="clear" w:color="000000" w:fill="9BC2E6"/>
            <w:noWrap/>
            <w:vAlign w:val="center"/>
            <w:hideMark/>
          </w:tcPr>
          <w:p w14:paraId="5EFB983F" w14:textId="2893C26A" w:rsidR="00402FC1" w:rsidRPr="00402FC1" w:rsidRDefault="00402FC1" w:rsidP="00402FC1">
            <w:pPr>
              <w:spacing w:line="240" w:lineRule="auto"/>
              <w:jc w:val="center"/>
              <w:rPr>
                <w:rFonts w:ascii="Calibri" w:eastAsia="Times New Roman" w:hAnsi="Calibri"/>
                <w:sz w:val="22"/>
                <w:szCs w:val="22"/>
              </w:rPr>
            </w:pPr>
            <w:r w:rsidRPr="00402FC1">
              <w:rPr>
                <w:rFonts w:ascii="Calibri" w:eastAsia="Times New Roman" w:hAnsi="Calibri"/>
                <w:sz w:val="22"/>
                <w:szCs w:val="22"/>
              </w:rPr>
              <w:t>Energy cost unit ($/kWh)</w:t>
            </w:r>
          </w:p>
        </w:tc>
        <w:tc>
          <w:tcPr>
            <w:tcW w:w="697" w:type="dxa"/>
            <w:tcBorders>
              <w:top w:val="nil"/>
              <w:left w:val="nil"/>
              <w:bottom w:val="double" w:sz="6" w:space="0" w:color="auto"/>
              <w:right w:val="double" w:sz="6" w:space="0" w:color="auto"/>
            </w:tcBorders>
            <w:shd w:val="clear" w:color="000000" w:fill="DDEBF7"/>
            <w:noWrap/>
            <w:vAlign w:val="center"/>
            <w:hideMark/>
          </w:tcPr>
          <w:p w14:paraId="750C7EFA" w14:textId="77777777" w:rsidR="00402FC1" w:rsidRPr="00402FC1" w:rsidRDefault="00402FC1" w:rsidP="00402FC1">
            <w:pPr>
              <w:spacing w:line="240" w:lineRule="auto"/>
              <w:jc w:val="center"/>
              <w:rPr>
                <w:rFonts w:ascii="Calibri" w:eastAsia="Times New Roman" w:hAnsi="Calibri"/>
                <w:b/>
                <w:bCs/>
                <w:sz w:val="22"/>
                <w:szCs w:val="22"/>
              </w:rPr>
            </w:pPr>
            <w:r w:rsidRPr="00402FC1">
              <w:rPr>
                <w:rFonts w:ascii="Calibri" w:eastAsia="Times New Roman" w:hAnsi="Calibri"/>
                <w:b/>
                <w:bCs/>
                <w:sz w:val="22"/>
                <w:szCs w:val="22"/>
              </w:rPr>
              <w:t>0.055</w:t>
            </w:r>
          </w:p>
        </w:tc>
      </w:tr>
    </w:tbl>
    <w:p w14:paraId="14C50BC4" w14:textId="77777777" w:rsidR="00402FC1" w:rsidRDefault="00402FC1" w:rsidP="00402FC1">
      <w:pPr>
        <w:jc w:val="center"/>
      </w:pPr>
    </w:p>
    <w:p w14:paraId="6D8E3A1C" w14:textId="77777777" w:rsidR="00096B3B" w:rsidRDefault="00096B3B" w:rsidP="00CB3C92"/>
    <w:p w14:paraId="0458286E" w14:textId="77777777" w:rsidR="00096B3B" w:rsidRDefault="00096B3B" w:rsidP="00CB3C92"/>
    <w:p w14:paraId="4513B8EF" w14:textId="0B2F8452" w:rsidR="00096B3B" w:rsidRDefault="00402FC1" w:rsidP="00CB3C92">
      <w:r>
        <w:rPr>
          <w:b/>
        </w:rPr>
        <w:t>Operating DO concentration</w:t>
      </w:r>
      <w:r>
        <w:t xml:space="preserve"> is extremely important because it impacts biological metabolism as well as performance of the aeration equipment. </w:t>
      </w:r>
      <w:r w:rsidR="00AC6F3D">
        <w:t>In most cases where aerobic metabolism is desired, the operating DO concentration should be in the range of 0.5 to 1.5 mg/L. If simultaneous nitrification/denitrification is desired, the operating DO concentration should be in the range of 0.0 to 0.3 mg/L.</w:t>
      </w:r>
    </w:p>
    <w:p w14:paraId="38F3FB28" w14:textId="77777777" w:rsidR="00AC6F3D" w:rsidRDefault="00AC6F3D" w:rsidP="00CB3C92"/>
    <w:p w14:paraId="02F6FE4F" w14:textId="4DC91BEA" w:rsidR="00AC6F3D" w:rsidRDefault="00AC6F3D" w:rsidP="00CB3C92">
      <w:r>
        <w:t xml:space="preserve">In terms of aeration equipment performance, a lower DO concentration will enhance the field oxygen transfer rate of aerators. </w:t>
      </w:r>
      <w:r w:rsidR="007523F0">
        <w:t>In the example above, a 255-hp positive placement blower running 24 hours per day at 70% speed is used to maintain an operating DO concentration of 3.5 mg/L in the aeration basins (using fine-bubble diffusers). Compared to operating at a DO concentration of 2.0 mg/L, the aeration equipment is 24% less efficient in terms of the field oxygen transfer rate (OTR). Thus, one option for energy savings at this plant is to run the blower at a lower speed and reduce the DO concentration in the aeration basins.</w:t>
      </w:r>
    </w:p>
    <w:p w14:paraId="0B621B97" w14:textId="77777777" w:rsidR="007523F0" w:rsidRDefault="007523F0" w:rsidP="00CB3C92"/>
    <w:p w14:paraId="3740B25B" w14:textId="035E98B7" w:rsidR="007523F0" w:rsidRDefault="007523F0" w:rsidP="00CB3C92">
      <w:r>
        <w:t xml:space="preserve">The term </w:t>
      </w:r>
      <w:r>
        <w:rPr>
          <w:b/>
        </w:rPr>
        <w:t>alpha</w:t>
      </w:r>
      <w:r>
        <w:t xml:space="preserve"> is the oxygen transfer coefficient in wastewater divided by the oxygen transfer coefficient in tap water.</w:t>
      </w:r>
      <w:r w:rsidR="00D409D2">
        <w:t xml:space="preserve"> The typical range of alpha for municipal wastewater is 0.8 to 0.9. Dr. Moore prefers to use a value of 0.84 for most municipal wastewaters.</w:t>
      </w:r>
    </w:p>
    <w:p w14:paraId="502DAD4F" w14:textId="77777777" w:rsidR="00D409D2" w:rsidRDefault="00D409D2" w:rsidP="00CB3C92"/>
    <w:p w14:paraId="5F155A94" w14:textId="6CDC5482" w:rsidR="00D409D2" w:rsidRDefault="00D409D2" w:rsidP="00CB3C92">
      <w:r>
        <w:lastRenderedPageBreak/>
        <w:t xml:space="preserve">The term </w:t>
      </w:r>
      <w:r>
        <w:rPr>
          <w:b/>
        </w:rPr>
        <w:t>beta</w:t>
      </w:r>
      <w:r>
        <w:t xml:space="preserve"> is the saturation DO concentration in wastewater divided by the saturation DO concentration in tap water. The typical range of beta for municipal wastewater is 0.9 to 0.95. Dr. Moore prefers to use a value of 0.92 for most municipal wastewaters.</w:t>
      </w:r>
    </w:p>
    <w:p w14:paraId="5BA2EE92" w14:textId="77777777" w:rsidR="00D409D2" w:rsidRDefault="00D409D2" w:rsidP="00CB3C92"/>
    <w:p w14:paraId="14A72DE2" w14:textId="12DD1785" w:rsidR="00D409D2" w:rsidRDefault="00D409D2" w:rsidP="00CB3C92">
      <w:r>
        <w:t xml:space="preserve">The term </w:t>
      </w:r>
      <w:r>
        <w:rPr>
          <w:b/>
        </w:rPr>
        <w:t>SOTR (standard oxygen transfer rate)</w:t>
      </w:r>
      <w:r>
        <w:t xml:space="preserve"> is the oxygen transfer rate in tap water at 20 °C, zero DO concentration, and sea level (one atmosphere of pressure). Aeration equipment manufacturers test their equipment at standard conditions</w:t>
      </w:r>
      <w:r w:rsidR="00480C38">
        <w:t xml:space="preserve"> to determine the </w:t>
      </w:r>
      <w:r w:rsidR="00480C38" w:rsidRPr="00480C38">
        <w:rPr>
          <w:b/>
        </w:rPr>
        <w:t>SOTR</w:t>
      </w:r>
      <w:r w:rsidR="00480C38">
        <w:t xml:space="preserve">. The design engineer must adjust the </w:t>
      </w:r>
      <w:r w:rsidR="00480C38">
        <w:rPr>
          <w:b/>
        </w:rPr>
        <w:t>SOTR</w:t>
      </w:r>
      <w:r w:rsidR="00480C38">
        <w:t xml:space="preserve"> for field conditions. To determine the </w:t>
      </w:r>
      <w:r w:rsidR="00480C38" w:rsidRPr="00243F95">
        <w:rPr>
          <w:b/>
        </w:rPr>
        <w:t>field OTR</w:t>
      </w:r>
      <w:r w:rsidR="00480C38">
        <w:t xml:space="preserve"> for surface aerators, the following equation is used.</w:t>
      </w:r>
    </w:p>
    <w:p w14:paraId="1993BD38" w14:textId="77777777" w:rsidR="00480C38" w:rsidRDefault="00480C38" w:rsidP="00CB3C92"/>
    <w:p w14:paraId="2ABA8DE8" w14:textId="77777777" w:rsidR="00480C38" w:rsidRDefault="00480C38" w:rsidP="00480C38">
      <w:pPr>
        <w:ind w:left="720"/>
      </w:pPr>
      <w:r>
        <w:tab/>
      </w:r>
      <w:r w:rsidRPr="00243F95">
        <w:rPr>
          <w:b/>
        </w:rPr>
        <w:t>Field OTR</w:t>
      </w:r>
      <w:r>
        <w:t xml:space="preserve"> </w:t>
      </w:r>
      <w:r>
        <w:sym w:font="Symbol" w:char="F05B"/>
      </w:r>
      <w:proofErr w:type="spellStart"/>
      <w:r>
        <w:t>lb</w:t>
      </w:r>
      <w:proofErr w:type="spellEnd"/>
      <w:proofErr w:type="gramStart"/>
      <w:r>
        <w:t>/(</w:t>
      </w:r>
      <w:proofErr w:type="spellStart"/>
      <w:proofErr w:type="gramEnd"/>
      <w:r>
        <w:t>hp-hr</w:t>
      </w:r>
      <w:proofErr w:type="spellEnd"/>
      <w:r>
        <w:t>)</w:t>
      </w:r>
      <w:r>
        <w:sym w:font="Symbol" w:char="F05D"/>
      </w:r>
      <w:r>
        <w:t xml:space="preserve">  =  </w:t>
      </w:r>
      <w:r w:rsidRPr="00243F95">
        <w:rPr>
          <w:b/>
          <w:u w:val="single"/>
        </w:rPr>
        <w:t>SOTR</w:t>
      </w:r>
      <w:r>
        <w:rPr>
          <w:u w:val="single"/>
        </w:rPr>
        <w:t xml:space="preserve">  x  </w:t>
      </w:r>
      <w:r>
        <w:rPr>
          <w:u w:val="single"/>
        </w:rPr>
        <w:sym w:font="Symbol" w:char="F07B"/>
      </w:r>
      <w:r>
        <w:rPr>
          <w:u w:val="single"/>
        </w:rPr>
        <w:sym w:font="Symbol" w:char="F05B"/>
      </w:r>
      <w:r>
        <w:rPr>
          <w:u w:val="single"/>
        </w:rPr>
        <w:t>(</w:t>
      </w:r>
      <w:r>
        <w:rPr>
          <w:u w:val="single"/>
        </w:rPr>
        <w:sym w:font="Symbol" w:char="F062"/>
      </w:r>
      <w:proofErr w:type="spellStart"/>
      <w:r>
        <w:rPr>
          <w:u w:val="single"/>
        </w:rPr>
        <w:t>ρC</w:t>
      </w:r>
      <w:r>
        <w:rPr>
          <w:u w:val="single"/>
          <w:vertAlign w:val="subscript"/>
        </w:rPr>
        <w:t>s</w:t>
      </w:r>
      <w:proofErr w:type="spellEnd"/>
      <w:r>
        <w:rPr>
          <w:u w:val="single"/>
        </w:rPr>
        <w:t>) - C</w:t>
      </w:r>
      <w:r>
        <w:rPr>
          <w:u w:val="single"/>
        </w:rPr>
        <w:sym w:font="Symbol" w:char="F05D"/>
      </w:r>
      <w:r>
        <w:rPr>
          <w:u w:val="single"/>
        </w:rPr>
        <w:t xml:space="preserve"> x (</w:t>
      </w:r>
      <w:r>
        <w:rPr>
          <w:u w:val="single"/>
        </w:rPr>
        <w:sym w:font="Symbol" w:char="F061"/>
      </w:r>
      <w:r>
        <w:rPr>
          <w:u w:val="single"/>
        </w:rPr>
        <w:t xml:space="preserve"> x 1.024</w:t>
      </w:r>
      <w:r>
        <w:rPr>
          <w:u w:val="single"/>
          <w:vertAlign w:val="superscript"/>
        </w:rPr>
        <w:t>(T-20)</w:t>
      </w:r>
      <w:r>
        <w:rPr>
          <w:u w:val="single"/>
        </w:rPr>
        <w:t>)</w:t>
      </w:r>
      <w:r>
        <w:rPr>
          <w:u w:val="single"/>
        </w:rPr>
        <w:sym w:font="Symbol" w:char="F07D"/>
      </w:r>
    </w:p>
    <w:p w14:paraId="51E2D433" w14:textId="77777777" w:rsidR="00480C38" w:rsidRDefault="00480C38" w:rsidP="00480C38">
      <w:pPr>
        <w:ind w:left="720"/>
      </w:pPr>
      <w:r>
        <w:tab/>
      </w:r>
      <w:r>
        <w:tab/>
      </w:r>
      <w:r>
        <w:tab/>
      </w:r>
      <w:r>
        <w:tab/>
      </w:r>
      <w:r>
        <w:tab/>
      </w:r>
      <w:r>
        <w:tab/>
      </w:r>
      <w:r>
        <w:tab/>
        <w:t>9.17</w:t>
      </w:r>
    </w:p>
    <w:p w14:paraId="05F376FB" w14:textId="77777777" w:rsidR="00480C38" w:rsidRDefault="00480C38" w:rsidP="00480C38">
      <w:pPr>
        <w:ind w:left="720"/>
      </w:pPr>
    </w:p>
    <w:p w14:paraId="6828357A" w14:textId="77777777" w:rsidR="00480C38" w:rsidRDefault="00480C38" w:rsidP="00480C38">
      <w:pPr>
        <w:ind w:left="720"/>
      </w:pPr>
      <w:proofErr w:type="gramStart"/>
      <w:r>
        <w:t>where</w:t>
      </w:r>
      <w:proofErr w:type="gramEnd"/>
      <w:r>
        <w:t>:</w:t>
      </w:r>
    </w:p>
    <w:p w14:paraId="69986F4C" w14:textId="77777777" w:rsidR="00480C38" w:rsidRDefault="00480C38" w:rsidP="00480C38">
      <w:pPr>
        <w:ind w:left="720"/>
      </w:pPr>
    </w:p>
    <w:p w14:paraId="17F2989E" w14:textId="77777777" w:rsidR="00480C38" w:rsidRDefault="00480C38" w:rsidP="00480C38">
      <w:pPr>
        <w:ind w:left="720"/>
      </w:pPr>
      <w:r>
        <w:t>C</w:t>
      </w:r>
      <w:r>
        <w:rPr>
          <w:vertAlign w:val="subscript"/>
        </w:rPr>
        <w:t>s</w:t>
      </w:r>
      <w:r>
        <w:tab/>
        <w:t>=</w:t>
      </w:r>
      <w:r>
        <w:tab/>
        <w:t>saturation oxygen level in clean water at the design altitude, mg/L</w:t>
      </w:r>
    </w:p>
    <w:p w14:paraId="50D5AF5A" w14:textId="77777777" w:rsidR="00480C38" w:rsidRDefault="00480C38" w:rsidP="00480C38">
      <w:pPr>
        <w:ind w:left="720"/>
      </w:pPr>
      <w:r>
        <w:t>C</w:t>
      </w:r>
      <w:r>
        <w:tab/>
        <w:t>=</w:t>
      </w:r>
      <w:r>
        <w:tab/>
        <w:t>operating oxygen level in wastewater at the design altitude, mg/L</w:t>
      </w:r>
    </w:p>
    <w:p w14:paraId="30B4F440" w14:textId="77777777" w:rsidR="00480C38" w:rsidRDefault="00480C38" w:rsidP="00480C38">
      <w:pPr>
        <w:ind w:left="720"/>
      </w:pPr>
      <w:r>
        <w:sym w:font="Symbol" w:char="F061"/>
      </w:r>
      <w:r>
        <w:tab/>
        <w:t>=</w:t>
      </w:r>
      <w:r>
        <w:tab/>
        <w:t>O</w:t>
      </w:r>
      <w:r w:rsidRPr="00DB0249">
        <w:rPr>
          <w:vertAlign w:val="subscript"/>
        </w:rPr>
        <w:t>2</w:t>
      </w:r>
      <w:r>
        <w:t xml:space="preserve"> transfer coefficient in wastewater/</w:t>
      </w:r>
      <w:r w:rsidRPr="00DB0249">
        <w:t xml:space="preserve"> </w:t>
      </w:r>
      <w:r>
        <w:t>O</w:t>
      </w:r>
      <w:r w:rsidRPr="00DB0249">
        <w:rPr>
          <w:vertAlign w:val="subscript"/>
        </w:rPr>
        <w:t>2</w:t>
      </w:r>
      <w:r>
        <w:t xml:space="preserve"> transfer coefficient in </w:t>
      </w:r>
    </w:p>
    <w:p w14:paraId="290B0BF3" w14:textId="77777777" w:rsidR="00480C38" w:rsidRDefault="00480C38" w:rsidP="00480C38">
      <w:pPr>
        <w:ind w:left="1440" w:firstLine="720"/>
      </w:pPr>
      <w:proofErr w:type="gramStart"/>
      <w:r>
        <w:t>clean</w:t>
      </w:r>
      <w:proofErr w:type="gramEnd"/>
      <w:r>
        <w:t xml:space="preserve"> water</w:t>
      </w:r>
    </w:p>
    <w:p w14:paraId="27D634CF" w14:textId="65AD68A9" w:rsidR="00480C38" w:rsidRDefault="00480C38" w:rsidP="00480C38">
      <w:pPr>
        <w:ind w:left="720"/>
      </w:pPr>
      <w:r>
        <w:sym w:font="Symbol" w:char="F062"/>
      </w:r>
      <w:r>
        <w:tab/>
        <w:t>=</w:t>
      </w:r>
      <w:r>
        <w:tab/>
        <w:t>C</w:t>
      </w:r>
      <w:r>
        <w:rPr>
          <w:vertAlign w:val="subscript"/>
        </w:rPr>
        <w:t>s</w:t>
      </w:r>
      <w:r>
        <w:t xml:space="preserve"> </w:t>
      </w:r>
      <w:r w:rsidR="00047D66">
        <w:t>in wastewater</w:t>
      </w:r>
      <w:r>
        <w:t>/C</w:t>
      </w:r>
      <w:r>
        <w:rPr>
          <w:vertAlign w:val="subscript"/>
        </w:rPr>
        <w:t>s</w:t>
      </w:r>
      <w:r>
        <w:t xml:space="preserve"> in clean water</w:t>
      </w:r>
    </w:p>
    <w:p w14:paraId="2F756450" w14:textId="02E69343" w:rsidR="00480C38" w:rsidRDefault="00480C38" w:rsidP="00480C38">
      <w:pPr>
        <w:ind w:left="720"/>
      </w:pPr>
      <w:r>
        <w:t>ρ</w:t>
      </w:r>
      <w:r>
        <w:tab/>
        <w:t>=</w:t>
      </w:r>
      <w:r>
        <w:tab/>
        <w:t xml:space="preserve">correction factor for </w:t>
      </w:r>
      <w:r w:rsidR="002256F1">
        <w:t>C</w:t>
      </w:r>
      <w:r w:rsidR="002256F1">
        <w:rPr>
          <w:vertAlign w:val="subscript"/>
        </w:rPr>
        <w:t>s</w:t>
      </w:r>
      <w:r w:rsidR="002256F1">
        <w:t xml:space="preserve"> at the given elevation</w:t>
      </w:r>
    </w:p>
    <w:p w14:paraId="5FB4A045" w14:textId="77777777" w:rsidR="00480C38" w:rsidRDefault="00480C38" w:rsidP="00480C38">
      <w:pPr>
        <w:ind w:left="720"/>
      </w:pPr>
      <w:r>
        <w:t>T</w:t>
      </w:r>
      <w:r>
        <w:tab/>
        <w:t>=</w:t>
      </w:r>
      <w:r>
        <w:tab/>
        <w:t xml:space="preserve">water temperature in </w:t>
      </w:r>
      <w:r>
        <w:sym w:font="Symbol" w:char="F0B0"/>
      </w:r>
      <w:r>
        <w:t>C</w:t>
      </w:r>
    </w:p>
    <w:p w14:paraId="53CED101" w14:textId="77777777" w:rsidR="00480C38" w:rsidRDefault="00480C38" w:rsidP="00CB3C92"/>
    <w:p w14:paraId="4034EE07" w14:textId="2A2329ED" w:rsidR="00480C38" w:rsidRDefault="00071C84" w:rsidP="00071C84">
      <w:pPr>
        <w:spacing w:before="240"/>
      </w:pPr>
      <w:r w:rsidRPr="00071C84">
        <w:rPr>
          <w:b/>
        </w:rPr>
        <w:t>SOTR</w:t>
      </w:r>
      <w:r>
        <w:t xml:space="preserve"> for surface aerators is expressed as </w:t>
      </w:r>
      <w:proofErr w:type="spellStart"/>
      <w:r>
        <w:t>lb</w:t>
      </w:r>
      <w:proofErr w:type="spellEnd"/>
      <w:proofErr w:type="gramStart"/>
      <w:r>
        <w:t>/(</w:t>
      </w:r>
      <w:proofErr w:type="spellStart"/>
      <w:proofErr w:type="gramEnd"/>
      <w:r>
        <w:t>hp-hr</w:t>
      </w:r>
      <w:proofErr w:type="spellEnd"/>
      <w:r>
        <w:t xml:space="preserve">). </w:t>
      </w:r>
      <w:r w:rsidR="00243F95">
        <w:t xml:space="preserve">The suggested value for </w:t>
      </w:r>
      <w:r w:rsidR="00243F95">
        <w:rPr>
          <w:b/>
        </w:rPr>
        <w:t>SOTR</w:t>
      </w:r>
      <w:r w:rsidR="00243F95">
        <w:t xml:space="preserve"> for different types of aeration equipment is provided in the comment box for </w:t>
      </w:r>
      <w:r w:rsidR="00243F95" w:rsidRPr="00243F95">
        <w:rPr>
          <w:b/>
        </w:rPr>
        <w:t>SOTR</w:t>
      </w:r>
      <w:r w:rsidR="00243F95">
        <w:t xml:space="preserve"> in the input data. Please note that</w:t>
      </w:r>
      <w:r w:rsidR="004433AA">
        <w:t xml:space="preserve"> standard</w:t>
      </w:r>
      <w:r w:rsidR="00243F95">
        <w:t xml:space="preserve"> oxygen transfer </w:t>
      </w:r>
      <w:r w:rsidR="004433AA">
        <w:t>capacity for diffused aeration systems is typically expressed as a percent transfer efficiency</w:t>
      </w:r>
      <w:r>
        <w:t xml:space="preserve">. Therefore, for diffused aeration systems, percent transfer efficiency at standard conditions has been converted to </w:t>
      </w:r>
      <w:proofErr w:type="spellStart"/>
      <w:r>
        <w:t>lb</w:t>
      </w:r>
      <w:proofErr w:type="spellEnd"/>
      <w:proofErr w:type="gramStart"/>
      <w:r>
        <w:t>/(</w:t>
      </w:r>
      <w:proofErr w:type="spellStart"/>
      <w:proofErr w:type="gramEnd"/>
      <w:r>
        <w:t>hp-hr</w:t>
      </w:r>
      <w:proofErr w:type="spellEnd"/>
      <w:r>
        <w:t>) by making the following assumptions:</w:t>
      </w:r>
    </w:p>
    <w:p w14:paraId="09A7FE4A" w14:textId="77777777" w:rsidR="00071C84" w:rsidRDefault="00071C84" w:rsidP="00CB3C92"/>
    <w:p w14:paraId="2CC8C52A" w14:textId="77777777" w:rsidR="00071C84" w:rsidRPr="00071C84" w:rsidRDefault="00071C84" w:rsidP="00071C84">
      <w:pPr>
        <w:ind w:left="2160" w:firstLine="720"/>
      </w:pPr>
      <w:r w:rsidRPr="00071C84">
        <w:rPr>
          <w:b/>
          <w:bCs/>
        </w:rPr>
        <w:t>Compressor efficiency = 75%</w:t>
      </w:r>
    </w:p>
    <w:p w14:paraId="2D40B19A" w14:textId="77777777" w:rsidR="00071C84" w:rsidRPr="00071C84" w:rsidRDefault="00071C84" w:rsidP="00071C84">
      <w:pPr>
        <w:ind w:left="2160" w:firstLine="720"/>
      </w:pPr>
      <w:r w:rsidRPr="00071C84">
        <w:rPr>
          <w:b/>
          <w:bCs/>
        </w:rPr>
        <w:t xml:space="preserve">Tank depth = 15 </w:t>
      </w:r>
      <w:proofErr w:type="spellStart"/>
      <w:r w:rsidRPr="00071C84">
        <w:rPr>
          <w:b/>
          <w:bCs/>
        </w:rPr>
        <w:t>ft</w:t>
      </w:r>
      <w:proofErr w:type="spellEnd"/>
      <w:r w:rsidRPr="00071C84">
        <w:rPr>
          <w:b/>
          <w:bCs/>
        </w:rPr>
        <w:t xml:space="preserve"> </w:t>
      </w:r>
    </w:p>
    <w:p w14:paraId="25EA3684" w14:textId="77777777" w:rsidR="00071C84" w:rsidRPr="00071C84" w:rsidRDefault="00071C84" w:rsidP="00071C84">
      <w:pPr>
        <w:ind w:left="2160" w:firstLine="720"/>
      </w:pPr>
      <w:r w:rsidRPr="00071C84">
        <w:rPr>
          <w:b/>
          <w:bCs/>
        </w:rPr>
        <w:t xml:space="preserve">Diffusers located 1.5 </w:t>
      </w:r>
      <w:proofErr w:type="spellStart"/>
      <w:r w:rsidRPr="00071C84">
        <w:rPr>
          <w:b/>
          <w:bCs/>
        </w:rPr>
        <w:t>ft</w:t>
      </w:r>
      <w:proofErr w:type="spellEnd"/>
      <w:r w:rsidRPr="00071C84">
        <w:rPr>
          <w:b/>
          <w:bCs/>
        </w:rPr>
        <w:t xml:space="preserve"> above tank bottom</w:t>
      </w:r>
    </w:p>
    <w:p w14:paraId="18D6C335" w14:textId="77777777" w:rsidR="00071C84" w:rsidRPr="00243F95" w:rsidRDefault="00071C84" w:rsidP="00CB3C92"/>
    <w:p w14:paraId="7653C1BD" w14:textId="028F4D65" w:rsidR="00402FC1" w:rsidRDefault="00071C84" w:rsidP="00CB3C92">
      <w:r>
        <w:t>In reality, aeration tanks will not always be 15 feet deep. As the tank depth is increased, the oxygen transfer rate of diffused aeration systems will</w:t>
      </w:r>
      <w:r w:rsidR="00A324BB">
        <w:t xml:space="preserve"> </w:t>
      </w:r>
      <w:r>
        <w:t>increase</w:t>
      </w:r>
      <w:r w:rsidR="00A324BB">
        <w:t xml:space="preserve"> because the air bubbles will be exposed to the mixed liquor for a longer time as they rise in the reactor. On the other hand, the required blower pressure increases with increasing tank depth. </w:t>
      </w:r>
      <w:r w:rsidR="00A324BB" w:rsidRPr="00644026">
        <w:rPr>
          <w:i/>
        </w:rPr>
        <w:t xml:space="preserve">Therefore, the net effect on </w:t>
      </w:r>
      <w:r w:rsidR="00A324BB" w:rsidRPr="00644026">
        <w:rPr>
          <w:i/>
        </w:rPr>
        <w:lastRenderedPageBreak/>
        <w:t>oxygen transfer rate</w:t>
      </w:r>
      <w:r w:rsidR="00644026" w:rsidRPr="00644026">
        <w:rPr>
          <w:i/>
        </w:rPr>
        <w:t xml:space="preserve"> (</w:t>
      </w:r>
      <w:proofErr w:type="spellStart"/>
      <w:r w:rsidR="00644026" w:rsidRPr="00644026">
        <w:rPr>
          <w:i/>
        </w:rPr>
        <w:t>lb</w:t>
      </w:r>
      <w:proofErr w:type="spellEnd"/>
      <w:proofErr w:type="gramStart"/>
      <w:r w:rsidR="00644026" w:rsidRPr="00644026">
        <w:rPr>
          <w:i/>
        </w:rPr>
        <w:t>/(</w:t>
      </w:r>
      <w:proofErr w:type="spellStart"/>
      <w:proofErr w:type="gramEnd"/>
      <w:r w:rsidR="00644026" w:rsidRPr="00644026">
        <w:rPr>
          <w:i/>
        </w:rPr>
        <w:t>hp-hr</w:t>
      </w:r>
      <w:proofErr w:type="spellEnd"/>
      <w:r w:rsidR="00644026" w:rsidRPr="00644026">
        <w:rPr>
          <w:i/>
        </w:rPr>
        <w:t>))</w:t>
      </w:r>
      <w:r w:rsidR="00A324BB" w:rsidRPr="00644026">
        <w:rPr>
          <w:i/>
        </w:rPr>
        <w:t xml:space="preserve"> remains relatively constant for diffused aeration systems</w:t>
      </w:r>
      <w:r w:rsidR="00644026" w:rsidRPr="00644026">
        <w:rPr>
          <w:i/>
        </w:rPr>
        <w:t xml:space="preserve"> as depth increases</w:t>
      </w:r>
      <w:r w:rsidR="00644026">
        <w:t>.</w:t>
      </w:r>
      <w:r w:rsidR="00A324BB">
        <w:t xml:space="preserve"> </w:t>
      </w:r>
    </w:p>
    <w:p w14:paraId="7E444D24" w14:textId="77777777" w:rsidR="00071C84" w:rsidRDefault="00071C84" w:rsidP="00CB3C92"/>
    <w:p w14:paraId="1D506626" w14:textId="4E0196C1" w:rsidR="00071C84" w:rsidRDefault="00FF04CE" w:rsidP="00CB3C92">
      <w:r>
        <w:rPr>
          <w:b/>
        </w:rPr>
        <w:t>Temperature</w:t>
      </w:r>
      <w:r>
        <w:t xml:space="preserve"> affects oxygen transfer rates in two ways. As temperature increases, C</w:t>
      </w:r>
      <w:r>
        <w:rPr>
          <w:vertAlign w:val="subscript"/>
        </w:rPr>
        <w:t>s</w:t>
      </w:r>
      <w:r>
        <w:t xml:space="preserve"> decreases – which tends to decrease </w:t>
      </w:r>
      <w:r w:rsidRPr="00FF04CE">
        <w:rPr>
          <w:b/>
        </w:rPr>
        <w:t>field OTR</w:t>
      </w:r>
      <w:r>
        <w:t xml:space="preserve">. On the other hand, as temperature increases, the physical-chemical transfer of molecular oxygen across the gas-liquid film increases, which tends to increase </w:t>
      </w:r>
      <w:r w:rsidRPr="00FF04CE">
        <w:rPr>
          <w:b/>
        </w:rPr>
        <w:t>field OTR</w:t>
      </w:r>
      <w:r>
        <w:t xml:space="preserve">. Both of these components are incorporated in the equation above for calculating the </w:t>
      </w:r>
      <w:r w:rsidRPr="00FF04CE">
        <w:rPr>
          <w:b/>
        </w:rPr>
        <w:t>field OTR</w:t>
      </w:r>
      <w:r>
        <w:t xml:space="preserve">. </w:t>
      </w:r>
    </w:p>
    <w:p w14:paraId="2E013CB0" w14:textId="77777777" w:rsidR="00FF04CE" w:rsidRDefault="00FF04CE" w:rsidP="00CB3C92"/>
    <w:p w14:paraId="0081E5DC" w14:textId="290F71B2" w:rsidR="00FF04CE" w:rsidRDefault="00FF04CE" w:rsidP="00CB3C92">
      <w:r>
        <w:t xml:space="preserve">The </w:t>
      </w:r>
      <w:r w:rsidRPr="00757709">
        <w:rPr>
          <w:b/>
        </w:rPr>
        <w:t>aeration horsepower being operated</w:t>
      </w:r>
      <w:r>
        <w:t xml:space="preserve"> </w:t>
      </w:r>
      <w:r w:rsidR="00757709">
        <w:t xml:space="preserve">must be provided by the model user. Obviously, this is important input data used to calculate the total oxygen supplied to the reactor(s). </w:t>
      </w:r>
    </w:p>
    <w:p w14:paraId="6E6B6505" w14:textId="77777777" w:rsidR="00757709" w:rsidRDefault="00757709" w:rsidP="00CB3C92"/>
    <w:p w14:paraId="50897D53" w14:textId="1400EF3C" w:rsidR="00757709" w:rsidRDefault="00757709" w:rsidP="00CB3C92">
      <w:r>
        <w:t xml:space="preserve">The </w:t>
      </w:r>
      <w:r>
        <w:rPr>
          <w:b/>
        </w:rPr>
        <w:t>elevation (feet)</w:t>
      </w:r>
      <w:r>
        <w:t xml:space="preserve"> of the site impacts the saturation DO concentration. Using the user-specified site elevation, the model calculates C</w:t>
      </w:r>
      <w:r>
        <w:rPr>
          <w:vertAlign w:val="subscript"/>
        </w:rPr>
        <w:t>s</w:t>
      </w:r>
      <w:r>
        <w:t xml:space="preserve"> appropriately by adjusting the value of ρ. </w:t>
      </w:r>
    </w:p>
    <w:p w14:paraId="62AC293C" w14:textId="77777777" w:rsidR="00757709" w:rsidRDefault="00757709" w:rsidP="00CB3C92"/>
    <w:p w14:paraId="01B6CFF9" w14:textId="04A9242A" w:rsidR="00757709" w:rsidRDefault="00D71C1A" w:rsidP="00CB3C92">
      <w:r>
        <w:rPr>
          <w:b/>
        </w:rPr>
        <w:t>Aerators operating time (</w:t>
      </w:r>
      <w:proofErr w:type="spellStart"/>
      <w:r>
        <w:rPr>
          <w:b/>
        </w:rPr>
        <w:t>hr</w:t>
      </w:r>
      <w:proofErr w:type="spellEnd"/>
      <w:r>
        <w:rPr>
          <w:b/>
        </w:rPr>
        <w:t>/day)</w:t>
      </w:r>
      <w:r>
        <w:t xml:space="preserve"> must be specified by the user. In many cases, aeration equipment will run 24 hours per day. In some cases, aeration equipment may run less than 24 hours per day (e.g. when the process is organically under-loaded or when using on-off aerator operation to achieve denitrification).</w:t>
      </w:r>
    </w:p>
    <w:p w14:paraId="67DD1A4D" w14:textId="77777777" w:rsidR="00D71C1A" w:rsidRDefault="00D71C1A" w:rsidP="00CB3C92"/>
    <w:p w14:paraId="2846DAE9" w14:textId="7AAB7EE2" w:rsidR="00D71C1A" w:rsidRDefault="00D71C1A" w:rsidP="00CB3C92">
      <w:r>
        <w:rPr>
          <w:b/>
        </w:rPr>
        <w:t>Type of aerators</w:t>
      </w:r>
      <w:r>
        <w:t xml:space="preserve"> must be specified by the user. The three types of aeration equipment are mechanical aerators, positive displacement blowers, and centrifugal blowers.</w:t>
      </w:r>
      <w:r w:rsidR="007225A9">
        <w:t xml:space="preserve"> To conserve energy, it may be desirable to install variable frequency drives (VFDs) on aerators or blowers to modulate aerator or blower output.</w:t>
      </w:r>
      <w:r w:rsidR="006770E4">
        <w:t xml:space="preserve"> For mechanical aerators, oxygen supplied and power draw are assumed to be directly proportional to aerator speed. For positive displacement blowers, blower airflow and power draw are assumed to be directly proportional to blower speed. </w:t>
      </w:r>
      <w:r>
        <w:t>The power drawn by centrifugal blowers is calculated differently; it is based on “fan laws” for predicting performance of centrifugal blowers operating at variable speed.</w:t>
      </w:r>
      <w:r w:rsidR="006770E4">
        <w:t xml:space="preserve"> The power drawn by centrifugal blowers is equal to the power drawn at the origin</w:t>
      </w:r>
      <w:r w:rsidR="00882162">
        <w:t>al speed multiplied by</w:t>
      </w:r>
      <w:r w:rsidR="006770E4">
        <w:t xml:space="preserve"> [(new operating speed/original operating speed) raised to the third power].</w:t>
      </w:r>
      <w:r w:rsidR="003B7EAA">
        <w:t xml:space="preserve"> Typically, mechanical aerators and positive displacement blowers can be operated at 50% to 100% speed. In many cases, centrifugal blowers can only be operated at 90% to 100% speed; otherwise, blower operation may be unstable.</w:t>
      </w:r>
      <w:r w:rsidR="00882162">
        <w:t xml:space="preserve"> Manufacturers of centrifugal blowers should be consulted prior to installing</w:t>
      </w:r>
      <w:r w:rsidR="007225A9" w:rsidRPr="007225A9">
        <w:t xml:space="preserve"> </w:t>
      </w:r>
      <w:r w:rsidR="00882162">
        <w:t>VFDs on these blowers.</w:t>
      </w:r>
    </w:p>
    <w:p w14:paraId="3A1C74E1" w14:textId="77777777" w:rsidR="003B7EAA" w:rsidRDefault="003B7EAA" w:rsidP="00CB3C92"/>
    <w:p w14:paraId="70BCBE6B" w14:textId="101BFD53" w:rsidR="003B7EAA" w:rsidRDefault="003B7EAA" w:rsidP="00CB3C92">
      <w:r>
        <w:rPr>
          <w:b/>
        </w:rPr>
        <w:t>Speed of aerators</w:t>
      </w:r>
      <w:r>
        <w:t xml:space="preserve"> in percent also must be specified by the user. Comments in the immediately preceding paragraph must be considered when determining the appropriate values for </w:t>
      </w:r>
      <w:r>
        <w:rPr>
          <w:b/>
        </w:rPr>
        <w:t>speed of aerators.</w:t>
      </w:r>
      <w:r w:rsidR="007225A9">
        <w:t xml:space="preserve"> VFDs</w:t>
      </w:r>
      <w:r>
        <w:t xml:space="preserve"> can be used to control the speed of aeration equipment</w:t>
      </w:r>
      <w:r w:rsidR="007225A9">
        <w:t xml:space="preserve"> in many cases</w:t>
      </w:r>
      <w:r>
        <w:t>. Often aerator output will be controlled by VFDs receiving signals from</w:t>
      </w:r>
      <w:r w:rsidR="009A4F4C">
        <w:t xml:space="preserve"> the</w:t>
      </w:r>
      <w:r>
        <w:t xml:space="preserve"> </w:t>
      </w:r>
      <w:r w:rsidR="009A4F4C">
        <w:t xml:space="preserve">automatic DO control </w:t>
      </w:r>
      <w:r w:rsidR="009A4F4C">
        <w:lastRenderedPageBreak/>
        <w:t>system. This is an excellent way to achieve energy conservation by matching aerator output to aeration demand.</w:t>
      </w:r>
    </w:p>
    <w:p w14:paraId="6406E409" w14:textId="77777777" w:rsidR="009A4F4C" w:rsidRDefault="009A4F4C" w:rsidP="00CB3C92"/>
    <w:p w14:paraId="4AA77F61" w14:textId="229F7DE6" w:rsidR="009A4F4C" w:rsidRPr="00834895" w:rsidRDefault="009A4F4C" w:rsidP="00CB3C92">
      <w:r>
        <w:rPr>
          <w:b/>
        </w:rPr>
        <w:t>Energy cost unit ($/kWh)</w:t>
      </w:r>
      <w:r>
        <w:t xml:space="preserve"> must be specified by the user. These rates will be determined by the electric power provider. </w:t>
      </w:r>
      <w:r w:rsidRPr="009A4F4C">
        <w:rPr>
          <w:b/>
        </w:rPr>
        <w:t>E</w:t>
      </w:r>
      <w:r>
        <w:rPr>
          <w:b/>
        </w:rPr>
        <w:t>nergy cost unit</w:t>
      </w:r>
      <w:r>
        <w:t xml:space="preserve"> represents the total cost of electric energy including the base kWh charge, demand charge, fuel adjustment charge, environmental fee, administrative charge, power factor penalty, and so on.</w:t>
      </w:r>
      <w:r w:rsidR="00834895">
        <w:t xml:space="preserve"> The typical range for </w:t>
      </w:r>
      <w:r w:rsidR="00834895">
        <w:rPr>
          <w:b/>
        </w:rPr>
        <w:t>energy cost unit</w:t>
      </w:r>
      <w:r w:rsidR="00834895">
        <w:t xml:space="preserve"> is $0.05 to $0.15 per kWh.</w:t>
      </w:r>
    </w:p>
    <w:p w14:paraId="20AA92C6" w14:textId="77777777" w:rsidR="00096B3B" w:rsidRDefault="00096B3B" w:rsidP="00CB3C92"/>
    <w:p w14:paraId="1E59CF4F" w14:textId="77777777" w:rsidR="001901C7" w:rsidRDefault="001901C7" w:rsidP="00CB3C92"/>
    <w:p w14:paraId="7672D9A5" w14:textId="77777777" w:rsidR="001901C7" w:rsidRPr="001901C7" w:rsidRDefault="001901C7" w:rsidP="001901C7">
      <w:pPr>
        <w:pStyle w:val="ListParagraph"/>
        <w:numPr>
          <w:ilvl w:val="0"/>
          <w:numId w:val="2"/>
        </w:numPr>
        <w:rPr>
          <w:b/>
        </w:rPr>
      </w:pPr>
      <w:r>
        <w:rPr>
          <w:b/>
        </w:rPr>
        <w:t>Executing the Model and Model Results</w:t>
      </w:r>
    </w:p>
    <w:p w14:paraId="2F1487E1" w14:textId="77777777" w:rsidR="001901C7" w:rsidRDefault="001901C7" w:rsidP="00CB3C92"/>
    <w:p w14:paraId="41AD7CCF" w14:textId="2E1B20B5" w:rsidR="00077057" w:rsidRPr="00764843" w:rsidRDefault="00077057" w:rsidP="00CB3C92">
      <w:r>
        <w:t xml:space="preserve">After all activated sludge input data discussed above are loaded into the model for </w:t>
      </w:r>
      <w:r w:rsidR="00764843">
        <w:t>“</w:t>
      </w:r>
      <w:r>
        <w:rPr>
          <w:b/>
        </w:rPr>
        <w:t>Current Conditions</w:t>
      </w:r>
      <w:r>
        <w:t>,</w:t>
      </w:r>
      <w:r w:rsidR="00764843">
        <w:t>”</w:t>
      </w:r>
      <w:r>
        <w:t xml:space="preserve"> the user simply clicks the “</w:t>
      </w:r>
      <w:r w:rsidRPr="00077057">
        <w:rPr>
          <w:b/>
        </w:rPr>
        <w:t>Analysis</w:t>
      </w:r>
      <w:r>
        <w:t xml:space="preserve">” button to activate the </w:t>
      </w:r>
      <w:proofErr w:type="spellStart"/>
      <w:r>
        <w:t>biokinetic</w:t>
      </w:r>
      <w:proofErr w:type="spellEnd"/>
      <w:r>
        <w:t xml:space="preserve"> calculations of the model and</w:t>
      </w:r>
      <w:r w:rsidR="00792466">
        <w:t xml:space="preserve"> to</w:t>
      </w:r>
      <w:r>
        <w:t xml:space="preserve"> ge</w:t>
      </w:r>
      <w:r w:rsidR="00764843">
        <w:t xml:space="preserve">nerate output data for </w:t>
      </w:r>
      <w:r w:rsidRPr="00077057">
        <w:rPr>
          <w:b/>
        </w:rPr>
        <w:t>current operating conditions</w:t>
      </w:r>
      <w:r>
        <w:t>. An “</w:t>
      </w:r>
      <w:r w:rsidRPr="00077057">
        <w:rPr>
          <w:b/>
        </w:rPr>
        <w:t>Alternate Scenario</w:t>
      </w:r>
      <w:r>
        <w:t>” set of activated sludge input data</w:t>
      </w:r>
      <w:r w:rsidR="00214B4F">
        <w:t xml:space="preserve"> also</w:t>
      </w:r>
      <w:r>
        <w:t xml:space="preserve"> is provided; the user changes the input data as desired</w:t>
      </w:r>
      <w:r w:rsidR="001015AB">
        <w:t xml:space="preserve"> for the alternate scenario. When the “</w:t>
      </w:r>
      <w:r w:rsidR="001015AB">
        <w:rPr>
          <w:b/>
        </w:rPr>
        <w:t>Analysis</w:t>
      </w:r>
      <w:r w:rsidR="001015AB">
        <w:t>” button is clicked,</w:t>
      </w:r>
      <w:r>
        <w:t xml:space="preserve"> the model simultaneously calculates </w:t>
      </w:r>
      <w:r>
        <w:rPr>
          <w:b/>
        </w:rPr>
        <w:t>approximate operating conditions</w:t>
      </w:r>
      <w:r w:rsidR="001015AB">
        <w:t xml:space="preserve"> for “</w:t>
      </w:r>
      <w:r w:rsidR="001015AB">
        <w:rPr>
          <w:b/>
        </w:rPr>
        <w:t>Current Conditions</w:t>
      </w:r>
      <w:r w:rsidR="001015AB">
        <w:t>” and for the</w:t>
      </w:r>
      <w:r>
        <w:t xml:space="preserve"> </w:t>
      </w:r>
      <w:r w:rsidR="001015AB">
        <w:t>“</w:t>
      </w:r>
      <w:r w:rsidR="00764843">
        <w:rPr>
          <w:b/>
        </w:rPr>
        <w:t>Alternate Scenario.</w:t>
      </w:r>
      <w:r w:rsidR="001015AB">
        <w:t>”</w:t>
      </w:r>
      <w:r w:rsidR="00764843">
        <w:t xml:space="preserve"> </w:t>
      </w:r>
    </w:p>
    <w:p w14:paraId="3799E246" w14:textId="77777777" w:rsidR="00077057" w:rsidRDefault="00077057" w:rsidP="00CB3C92"/>
    <w:p w14:paraId="258A5F70" w14:textId="77777777" w:rsidR="00063807" w:rsidRPr="0038703F" w:rsidRDefault="00764843" w:rsidP="00CB3C92">
      <w:r>
        <w:t xml:space="preserve">As the model processes the activated sludge input </w:t>
      </w:r>
      <w:r w:rsidR="006A19B6">
        <w:t>data, it attempt</w:t>
      </w:r>
      <w:r>
        <w:t>s to match the “user specified MLSS concentration” with the “model calculated MLSS concentration.”</w:t>
      </w:r>
      <w:r w:rsidR="00E2072D">
        <w:t xml:space="preserve"> </w:t>
      </w:r>
      <w:r w:rsidR="006A19B6">
        <w:t>If the “user specified MLSS concentration” is within 100 mg/L of the “model calculated MLSS concentration,” the model will immediately show the “</w:t>
      </w:r>
      <w:r w:rsidR="006A19B6">
        <w:rPr>
          <w:b/>
        </w:rPr>
        <w:t>Output</w:t>
      </w:r>
      <w:r w:rsidR="006A19B6">
        <w:t>” data for “</w:t>
      </w:r>
      <w:r w:rsidR="006A19B6">
        <w:rPr>
          <w:b/>
        </w:rPr>
        <w:t>Current Conditions”</w:t>
      </w:r>
      <w:r w:rsidR="006A19B6">
        <w:t xml:space="preserve"> and for the “</w:t>
      </w:r>
      <w:r w:rsidR="006A19B6">
        <w:rPr>
          <w:b/>
        </w:rPr>
        <w:t>Alternate Scenario</w:t>
      </w:r>
      <w:r w:rsidR="006A19B6">
        <w:t xml:space="preserve">.” If the “user specified MLSS concentration” is </w:t>
      </w:r>
      <w:r w:rsidR="006A19B6">
        <w:rPr>
          <w:b/>
        </w:rPr>
        <w:t>NOT</w:t>
      </w:r>
      <w:r w:rsidR="006A19B6">
        <w:t xml:space="preserve"> within 100 mg/L of the “model calculated MLSS concentration,” the model will immediately show a message box that states “</w:t>
      </w:r>
      <w:r w:rsidR="006A19B6" w:rsidRPr="0085365A">
        <w:rPr>
          <w:i/>
        </w:rPr>
        <w:t>The difference between the reported and estimated MLSS is more than 100 mg/L. Change the SRT values to have a better estimation</w:t>
      </w:r>
      <w:r w:rsidR="006A19B6">
        <w:t>.” To do this, one needs to click</w:t>
      </w:r>
      <w:r w:rsidR="0038703F">
        <w:t xml:space="preserve"> the “</w:t>
      </w:r>
      <w:r w:rsidR="0038703F" w:rsidRPr="0038703F">
        <w:rPr>
          <w:b/>
        </w:rPr>
        <w:t>OK</w:t>
      </w:r>
      <w:r w:rsidR="0038703F">
        <w:t>” box and then click</w:t>
      </w:r>
      <w:r w:rsidR="006A19B6">
        <w:t xml:space="preserve"> the</w:t>
      </w:r>
      <w:r w:rsidR="0038703F">
        <w:t xml:space="preserve"> sheet</w:t>
      </w:r>
      <w:r w:rsidR="006A19B6">
        <w:t xml:space="preserve"> tab</w:t>
      </w:r>
      <w:r w:rsidR="0038703F">
        <w:t>s at the bottom of the page</w:t>
      </w:r>
      <w:r w:rsidR="006A19B6">
        <w:t xml:space="preserve"> entitled “</w:t>
      </w:r>
      <w:r w:rsidR="006A19B6">
        <w:rPr>
          <w:b/>
        </w:rPr>
        <w:t>Calculations Current</w:t>
      </w:r>
      <w:r w:rsidR="006A19B6">
        <w:t>” and/or “</w:t>
      </w:r>
      <w:r w:rsidR="006A19B6">
        <w:rPr>
          <w:b/>
        </w:rPr>
        <w:t>Calculations Alternate</w:t>
      </w:r>
      <w:r w:rsidR="0038703F">
        <w:t>.” Scan the MLSS values in Column H of the appropriate output table to get some idea of what the SRT needs to be by interpolating among the various MLSS values in Column H. The goal is to choose an SRT that will provide a good match of the “user specified MLSS concentration” with the “model calculated MLSS concentration.” Go back to the sheet tab entitled “</w:t>
      </w:r>
      <w:r w:rsidR="0038703F">
        <w:rPr>
          <w:b/>
        </w:rPr>
        <w:t>Input Output Data</w:t>
      </w:r>
      <w:r w:rsidR="0038703F">
        <w:t>” and change the SRT value(s) as needed and click the “</w:t>
      </w:r>
      <w:r w:rsidR="0038703F">
        <w:rPr>
          <w:b/>
        </w:rPr>
        <w:t>Analysis</w:t>
      </w:r>
      <w:r w:rsidR="0038703F">
        <w:t>” button again. Keep changing the SRT values as necessary to get a good match</w:t>
      </w:r>
      <w:r w:rsidR="002D1AF3">
        <w:t xml:space="preserve"> of the input</w:t>
      </w:r>
      <w:r w:rsidR="00792466">
        <w:t xml:space="preserve"> (reported)</w:t>
      </w:r>
      <w:r w:rsidR="002D1AF3">
        <w:t xml:space="preserve"> MLSS and output</w:t>
      </w:r>
      <w:r w:rsidR="00792466">
        <w:t xml:space="preserve"> (estimated)</w:t>
      </w:r>
      <w:r w:rsidR="002D1AF3">
        <w:t xml:space="preserve"> MLSS. </w:t>
      </w:r>
    </w:p>
    <w:p w14:paraId="487C1485" w14:textId="77777777" w:rsidR="00DF7142" w:rsidRDefault="00DF7142" w:rsidP="00CB3C92"/>
    <w:p w14:paraId="5B2BFB12" w14:textId="77777777" w:rsidR="00DF7142" w:rsidRDefault="0085365A" w:rsidP="00CB3C92">
      <w:r>
        <w:t xml:space="preserve">If the default values for the </w:t>
      </w:r>
      <w:proofErr w:type="spellStart"/>
      <w:r>
        <w:t>biokinetic</w:t>
      </w:r>
      <w:proofErr w:type="spellEnd"/>
      <w:r>
        <w:t xml:space="preserve"> constants </w:t>
      </w:r>
      <w:r w:rsidRPr="00DB2112">
        <w:rPr>
          <w:color w:val="FF0000"/>
        </w:rPr>
        <w:t>(</w:t>
      </w:r>
      <w:r w:rsidRPr="0085365A">
        <w:rPr>
          <w:color w:val="FF0000"/>
        </w:rPr>
        <w:t>in red</w:t>
      </w:r>
      <w:r w:rsidRPr="00DB2112">
        <w:rPr>
          <w:color w:val="FF0000"/>
        </w:rPr>
        <w:t>)</w:t>
      </w:r>
      <w:r>
        <w:t xml:space="preserve"> are changed by the user, the model will process the new values and provide the corresponding output data. If the user specifies a </w:t>
      </w:r>
      <w:proofErr w:type="spellStart"/>
      <w:r>
        <w:t>biokinetic</w:t>
      </w:r>
      <w:proofErr w:type="spellEnd"/>
      <w:r>
        <w:t xml:space="preserve"> constant value that is outside the recommended range, a message box will appear that </w:t>
      </w:r>
      <w:r>
        <w:lastRenderedPageBreak/>
        <w:t>states “</w:t>
      </w:r>
      <w:r w:rsidRPr="00DB2112">
        <w:rPr>
          <w:i/>
        </w:rPr>
        <w:t>The value of the given constant is out of the typical range</w:t>
      </w:r>
      <w:r>
        <w:t>.”</w:t>
      </w:r>
      <w:r w:rsidR="00C12C44">
        <w:t xml:space="preserve"> The user should click the “</w:t>
      </w:r>
      <w:r w:rsidR="00C12C44">
        <w:rPr>
          <w:b/>
        </w:rPr>
        <w:t>OK</w:t>
      </w:r>
      <w:r w:rsidR="00C12C44">
        <w:t xml:space="preserve">” button, and the model will perform calculations with the atypical value specified by the user. </w:t>
      </w:r>
      <w:r w:rsidR="00C12C44">
        <w:rPr>
          <w:b/>
        </w:rPr>
        <w:t>USING BIOKINETIC CONSTANTS OUTSIDE THE RECOMMENDED RANGE SHOULD BE DONE WITH CAUTION!</w:t>
      </w:r>
      <w:r w:rsidR="00C12C44">
        <w:t xml:space="preserve"> </w:t>
      </w:r>
    </w:p>
    <w:p w14:paraId="414BC9B1" w14:textId="77777777" w:rsidR="00C12C44" w:rsidRDefault="00C12C44" w:rsidP="00CB3C92"/>
    <w:p w14:paraId="13855136" w14:textId="77777777" w:rsidR="00C12C44" w:rsidRDefault="00C12C44" w:rsidP="00CB3C92">
      <w:r>
        <w:t>The “</w:t>
      </w:r>
      <w:r>
        <w:rPr>
          <w:b/>
        </w:rPr>
        <w:t>Revert to default</w:t>
      </w:r>
      <w:r>
        <w:t xml:space="preserve">” button can be clicked if the user desires to go back to the </w:t>
      </w:r>
      <w:proofErr w:type="spellStart"/>
      <w:r>
        <w:t>biokinetic</w:t>
      </w:r>
      <w:proofErr w:type="spellEnd"/>
      <w:r>
        <w:t xml:space="preserve"> constant default values and to the SRT default values. The SRT default values are from 1 to 70 days. As noted above, the SRT values can be changed by the user.</w:t>
      </w:r>
      <w:r w:rsidR="00792466">
        <w:t xml:space="preserve"> The default values for the </w:t>
      </w:r>
      <w:proofErr w:type="spellStart"/>
      <w:r w:rsidR="00792466">
        <w:t>biokinetic</w:t>
      </w:r>
      <w:proofErr w:type="spellEnd"/>
      <w:r w:rsidR="00792466">
        <w:t xml:space="preserve"> constants are as follows:</w:t>
      </w:r>
    </w:p>
    <w:p w14:paraId="6ABCF318" w14:textId="77777777" w:rsidR="00D45EFD" w:rsidRDefault="00D45EFD" w:rsidP="00CB3C92"/>
    <w:p w14:paraId="39EE8339" w14:textId="4FF4A040" w:rsidR="00792466" w:rsidRDefault="00792466" w:rsidP="00CB3C92">
      <w:r>
        <w:tab/>
      </w:r>
      <w:r>
        <w:tab/>
      </w:r>
      <w:r>
        <w:tab/>
      </w:r>
      <w:r>
        <w:tab/>
      </w:r>
      <w:proofErr w:type="spellStart"/>
      <w:proofErr w:type="gramStart"/>
      <w:r>
        <w:t>f</w:t>
      </w:r>
      <w:r w:rsidRPr="00792466">
        <w:rPr>
          <w:vertAlign w:val="subscript"/>
        </w:rPr>
        <w:t>d</w:t>
      </w:r>
      <w:proofErr w:type="spellEnd"/>
      <w:proofErr w:type="gramEnd"/>
      <w:r>
        <w:tab/>
      </w:r>
      <w:r>
        <w:tab/>
        <w:t>0.1</w:t>
      </w:r>
    </w:p>
    <w:p w14:paraId="0E2CFF72" w14:textId="24F85B9E" w:rsidR="00792466" w:rsidRDefault="00792466" w:rsidP="00CB3C92">
      <w:r>
        <w:tab/>
      </w:r>
      <w:r>
        <w:tab/>
      </w:r>
      <w:r>
        <w:tab/>
      </w:r>
      <w:r>
        <w:tab/>
        <w:t>Y</w:t>
      </w:r>
      <w:r>
        <w:tab/>
      </w:r>
      <w:r>
        <w:tab/>
        <w:t>0.6</w:t>
      </w:r>
    </w:p>
    <w:p w14:paraId="6F5074CE" w14:textId="3929157E" w:rsidR="00792466" w:rsidRDefault="00792466" w:rsidP="00CB3C92">
      <w:r>
        <w:tab/>
      </w:r>
      <w:r>
        <w:tab/>
      </w:r>
      <w:r>
        <w:tab/>
      </w:r>
      <w:r>
        <w:tab/>
        <w:t>K</w:t>
      </w:r>
      <w:r w:rsidRPr="00792466">
        <w:rPr>
          <w:vertAlign w:val="subscript"/>
        </w:rPr>
        <w:t>s</w:t>
      </w:r>
      <w:r>
        <w:tab/>
      </w:r>
      <w:r>
        <w:tab/>
        <w:t>60 mg/L</w:t>
      </w:r>
    </w:p>
    <w:p w14:paraId="7C9DEC1B" w14:textId="3EE4C9EA" w:rsidR="00792466" w:rsidRDefault="00792466" w:rsidP="00CB3C92">
      <w:r>
        <w:tab/>
      </w:r>
      <w:r>
        <w:tab/>
      </w:r>
      <w:r>
        <w:tab/>
      </w:r>
      <w:r>
        <w:tab/>
      </w:r>
      <w:proofErr w:type="spellStart"/>
      <w:proofErr w:type="gramStart"/>
      <w:r>
        <w:t>k</w:t>
      </w:r>
      <w:r w:rsidRPr="00792466">
        <w:rPr>
          <w:vertAlign w:val="subscript"/>
        </w:rPr>
        <w:t>d</w:t>
      </w:r>
      <w:proofErr w:type="spellEnd"/>
      <w:proofErr w:type="gramEnd"/>
      <w:r>
        <w:tab/>
      </w:r>
      <w:r>
        <w:tab/>
        <w:t>0.1 day</w:t>
      </w:r>
      <w:r w:rsidRPr="00792466">
        <w:rPr>
          <w:vertAlign w:val="superscript"/>
        </w:rPr>
        <w:t>-1</w:t>
      </w:r>
      <w:r>
        <w:t xml:space="preserve"> at 20 °C</w:t>
      </w:r>
    </w:p>
    <w:p w14:paraId="5177CFF4" w14:textId="1846CE14" w:rsidR="00792466" w:rsidRPr="00C12C44" w:rsidRDefault="00792466" w:rsidP="00CB3C92">
      <w:r>
        <w:tab/>
      </w:r>
      <w:r>
        <w:tab/>
      </w:r>
      <w:r>
        <w:tab/>
      </w:r>
      <w:r>
        <w:tab/>
      </w:r>
      <w:proofErr w:type="gramStart"/>
      <w:r>
        <w:t>k</w:t>
      </w:r>
      <w:proofErr w:type="gramEnd"/>
      <w:r>
        <w:tab/>
      </w:r>
      <w:r>
        <w:tab/>
        <w:t>8 day</w:t>
      </w:r>
      <w:r w:rsidRPr="00792466">
        <w:rPr>
          <w:vertAlign w:val="superscript"/>
        </w:rPr>
        <w:t>-1</w:t>
      </w:r>
      <w:r>
        <w:t xml:space="preserve"> at 20 °C </w:t>
      </w:r>
    </w:p>
    <w:p w14:paraId="7C719F20" w14:textId="77777777" w:rsidR="00B52A08" w:rsidRDefault="00FF2647" w:rsidP="00CB3C92">
      <w:r>
        <w:tab/>
      </w:r>
      <w:r>
        <w:tab/>
      </w:r>
      <w:r w:rsidR="008E35A0">
        <w:t xml:space="preserve"> </w:t>
      </w:r>
    </w:p>
    <w:p w14:paraId="2DF28683" w14:textId="31CADF22" w:rsidR="00CB3C92" w:rsidRDefault="00792466" w:rsidP="00CB3C92">
      <w:r>
        <w:t>An example of t</w:t>
      </w:r>
      <w:r w:rsidR="00CB3C92">
        <w:t>he approximate operating conditions</w:t>
      </w:r>
      <w:r w:rsidR="008E1A2D">
        <w:t xml:space="preserve"> (based on the user specified input data</w:t>
      </w:r>
      <w:r w:rsidR="00681AE1">
        <w:t>)</w:t>
      </w:r>
      <w:r>
        <w:t xml:space="preserve"> for</w:t>
      </w:r>
      <w:r w:rsidR="006C7846">
        <w:t xml:space="preserve"> the</w:t>
      </w:r>
      <w:r>
        <w:t xml:space="preserve"> specified</w:t>
      </w:r>
      <w:r w:rsidR="006C7846">
        <w:t xml:space="preserve"> activated sludge process</w:t>
      </w:r>
      <w:r w:rsidR="007B2902">
        <w:t xml:space="preserve"> is</w:t>
      </w:r>
      <w:r w:rsidR="008E1A2D">
        <w:t xml:space="preserve"> illustrat</w:t>
      </w:r>
      <w:r w:rsidR="00F03AD8">
        <w:t>ed on the next page</w:t>
      </w:r>
      <w:r>
        <w:t>. Two output tables (one for “</w:t>
      </w:r>
      <w:r w:rsidR="00DB2112" w:rsidRPr="00DB2112">
        <w:rPr>
          <w:b/>
        </w:rPr>
        <w:t>Current C</w:t>
      </w:r>
      <w:r w:rsidRPr="00DB2112">
        <w:rPr>
          <w:b/>
        </w:rPr>
        <w:t>onditions</w:t>
      </w:r>
      <w:r>
        <w:t>” and one for the “</w:t>
      </w:r>
      <w:r w:rsidR="00DB2112" w:rsidRPr="00DB2112">
        <w:rPr>
          <w:b/>
        </w:rPr>
        <w:t>Alternate S</w:t>
      </w:r>
      <w:r w:rsidRPr="00DB2112">
        <w:rPr>
          <w:b/>
        </w:rPr>
        <w:t>cenario</w:t>
      </w:r>
      <w:r w:rsidR="00DB2112">
        <w:t>”</w:t>
      </w:r>
      <w:r>
        <w:t>) are provided under the “</w:t>
      </w:r>
      <w:r w:rsidRPr="007B2902">
        <w:rPr>
          <w:b/>
        </w:rPr>
        <w:t>Output</w:t>
      </w:r>
      <w:r>
        <w:t>” heading</w:t>
      </w:r>
      <w:r w:rsidR="007B2902">
        <w:t xml:space="preserve"> on the </w:t>
      </w:r>
      <w:r w:rsidR="007B2902">
        <w:rPr>
          <w:b/>
        </w:rPr>
        <w:t>Input Output Data</w:t>
      </w:r>
      <w:r w:rsidR="007B2902">
        <w:t xml:space="preserve"> sheet tab at the bottom of the page.</w:t>
      </w:r>
    </w:p>
    <w:p w14:paraId="54F4CEA9" w14:textId="77777777" w:rsidR="00D45EFD" w:rsidRDefault="00D45EFD" w:rsidP="00CB3C92"/>
    <w:p w14:paraId="4EA8FC7D" w14:textId="31840C06" w:rsidR="00D45EFD" w:rsidRPr="00C95284" w:rsidRDefault="00D45EFD" w:rsidP="00CB3C92">
      <w:r>
        <w:rPr>
          <w:b/>
        </w:rPr>
        <w:t>TSS sludge production (</w:t>
      </w:r>
      <w:proofErr w:type="spellStart"/>
      <w:r>
        <w:rPr>
          <w:b/>
        </w:rPr>
        <w:t>lb</w:t>
      </w:r>
      <w:proofErr w:type="spellEnd"/>
      <w:r>
        <w:rPr>
          <w:b/>
        </w:rPr>
        <w:t>/day)</w:t>
      </w:r>
      <w:r>
        <w:t xml:space="preserve"> is the mass</w:t>
      </w:r>
      <w:r w:rsidR="00F03AD8">
        <w:t>/day</w:t>
      </w:r>
      <w:r>
        <w:t xml:space="preserve"> of suspended solids leaving the activated sludge process in the waste activated sludge; it is known as “intentional solids wastage.”  </w:t>
      </w:r>
      <w:r w:rsidR="00F03AD8">
        <w:rPr>
          <w:b/>
        </w:rPr>
        <w:t>TSS in activated sludge effluent (</w:t>
      </w:r>
      <w:proofErr w:type="spellStart"/>
      <w:r w:rsidR="00F03AD8">
        <w:rPr>
          <w:b/>
        </w:rPr>
        <w:t>lb</w:t>
      </w:r>
      <w:proofErr w:type="spellEnd"/>
      <w:r w:rsidR="00F03AD8">
        <w:rPr>
          <w:b/>
        </w:rPr>
        <w:t>/day)</w:t>
      </w:r>
      <w:r w:rsidR="00F03AD8">
        <w:t xml:space="preserve"> is the mass/day of suspended solids leaving the activated sludge process in the effluent from the secondary clarifiers; it is known as “unintentional solids wastage.”  The </w:t>
      </w:r>
      <w:r w:rsidR="00F03AD8">
        <w:rPr>
          <w:b/>
        </w:rPr>
        <w:t>total sludge production</w:t>
      </w:r>
      <w:r w:rsidR="00C95284">
        <w:rPr>
          <w:b/>
        </w:rPr>
        <w:t xml:space="preserve"> (</w:t>
      </w:r>
      <w:proofErr w:type="spellStart"/>
      <w:r w:rsidR="00C95284">
        <w:rPr>
          <w:b/>
        </w:rPr>
        <w:t>lb</w:t>
      </w:r>
      <w:proofErr w:type="spellEnd"/>
      <w:r w:rsidR="00C95284">
        <w:rPr>
          <w:b/>
        </w:rPr>
        <w:t>/day)</w:t>
      </w:r>
      <w:r w:rsidR="00F03AD8">
        <w:t xml:space="preserve"> is the sum of </w:t>
      </w:r>
      <w:r w:rsidR="00F03AD8">
        <w:rPr>
          <w:b/>
        </w:rPr>
        <w:t>TSS sludge production (</w:t>
      </w:r>
      <w:proofErr w:type="spellStart"/>
      <w:r w:rsidR="00F03AD8">
        <w:rPr>
          <w:b/>
        </w:rPr>
        <w:t>lb</w:t>
      </w:r>
      <w:proofErr w:type="spellEnd"/>
      <w:r w:rsidR="00F03AD8">
        <w:rPr>
          <w:b/>
        </w:rPr>
        <w:t xml:space="preserve">/day) </w:t>
      </w:r>
      <w:r w:rsidR="00F03AD8">
        <w:t xml:space="preserve">and </w:t>
      </w:r>
      <w:r w:rsidR="00F03AD8">
        <w:rPr>
          <w:b/>
        </w:rPr>
        <w:t>TSS in activated sludge effluent (</w:t>
      </w:r>
      <w:proofErr w:type="spellStart"/>
      <w:r w:rsidR="00F03AD8">
        <w:rPr>
          <w:b/>
        </w:rPr>
        <w:t>lb</w:t>
      </w:r>
      <w:proofErr w:type="spellEnd"/>
      <w:r w:rsidR="00F03AD8">
        <w:rPr>
          <w:b/>
        </w:rPr>
        <w:t>/day).</w:t>
      </w:r>
      <w:r w:rsidR="00F03AD8">
        <w:t xml:space="preserve"> </w:t>
      </w:r>
      <w:r w:rsidR="00C95284">
        <w:rPr>
          <w:b/>
        </w:rPr>
        <w:t>Total sludge production (</w:t>
      </w:r>
      <w:proofErr w:type="spellStart"/>
      <w:r w:rsidR="00C95284">
        <w:rPr>
          <w:b/>
        </w:rPr>
        <w:t>lb</w:t>
      </w:r>
      <w:proofErr w:type="spellEnd"/>
      <w:r w:rsidR="00C95284">
        <w:rPr>
          <w:b/>
        </w:rPr>
        <w:t>/day)</w:t>
      </w:r>
      <w:r w:rsidR="00C95284">
        <w:t xml:space="preserve"> includes solids production due to heterotrophic biomass growth, cell debris accumulation, inert VSS in the influent, and inert inorganic TSS in the influent.</w:t>
      </w:r>
    </w:p>
    <w:p w14:paraId="4C1F1B0B" w14:textId="77777777" w:rsidR="005C5446" w:rsidRDefault="005C5446" w:rsidP="00CB3C92"/>
    <w:p w14:paraId="605D4B76" w14:textId="5E74FBCB" w:rsidR="008E1A2D" w:rsidRPr="00F75117" w:rsidRDefault="00D45EFD" w:rsidP="00CB3C92">
      <w:r>
        <w:t xml:space="preserve">The </w:t>
      </w:r>
      <w:r>
        <w:rPr>
          <w:b/>
        </w:rPr>
        <w:t>total oxygen requirements (</w:t>
      </w:r>
      <w:proofErr w:type="spellStart"/>
      <w:r>
        <w:rPr>
          <w:b/>
        </w:rPr>
        <w:t>lb</w:t>
      </w:r>
      <w:proofErr w:type="spellEnd"/>
      <w:r>
        <w:rPr>
          <w:b/>
        </w:rPr>
        <w:t>/day)</w:t>
      </w:r>
      <w:r>
        <w:t xml:space="preserve"> include the oxygen required for carbonaceous BOD (CBOD) removal and the oxygen required for nitrogenous BOD (NBOD) removal. </w:t>
      </w:r>
      <w:r w:rsidR="00F03AD8">
        <w:rPr>
          <w:b/>
        </w:rPr>
        <w:t xml:space="preserve">Total oxygen </w:t>
      </w:r>
      <w:proofErr w:type="spellStart"/>
      <w:r w:rsidR="00F03AD8">
        <w:rPr>
          <w:b/>
        </w:rPr>
        <w:t>req’d</w:t>
      </w:r>
      <w:proofErr w:type="spellEnd"/>
      <w:r w:rsidR="00F03AD8">
        <w:rPr>
          <w:b/>
        </w:rPr>
        <w:t xml:space="preserve"> with </w:t>
      </w:r>
      <w:proofErr w:type="spellStart"/>
      <w:r w:rsidR="00F03AD8">
        <w:rPr>
          <w:b/>
        </w:rPr>
        <w:t>denit</w:t>
      </w:r>
      <w:proofErr w:type="spellEnd"/>
      <w:r w:rsidR="00F03AD8">
        <w:rPr>
          <w:b/>
        </w:rPr>
        <w:t>. (</w:t>
      </w:r>
      <w:proofErr w:type="spellStart"/>
      <w:r w:rsidR="00F03AD8">
        <w:rPr>
          <w:b/>
        </w:rPr>
        <w:t>lb</w:t>
      </w:r>
      <w:proofErr w:type="spellEnd"/>
      <w:r w:rsidR="00F03AD8">
        <w:rPr>
          <w:b/>
        </w:rPr>
        <w:t>/day)</w:t>
      </w:r>
      <w:r w:rsidR="00F03AD8">
        <w:t xml:space="preserve"> is the </w:t>
      </w:r>
      <w:r w:rsidR="00F03AD8">
        <w:rPr>
          <w:b/>
        </w:rPr>
        <w:t>total oxygen requirements (</w:t>
      </w:r>
      <w:proofErr w:type="spellStart"/>
      <w:r w:rsidR="00F03AD8">
        <w:rPr>
          <w:b/>
        </w:rPr>
        <w:t>lb</w:t>
      </w:r>
      <w:proofErr w:type="spellEnd"/>
      <w:r w:rsidR="00F03AD8">
        <w:rPr>
          <w:b/>
        </w:rPr>
        <w:t xml:space="preserve">/day) </w:t>
      </w:r>
      <w:r w:rsidR="00F03AD8">
        <w:t xml:space="preserve">minus the oxygen savings due </w:t>
      </w:r>
      <w:r w:rsidR="00C95284">
        <w:t xml:space="preserve">to denitrification. For every pound of nitrate-N that is converted to nitrogen gas, 2.86 pounds </w:t>
      </w:r>
      <w:r w:rsidR="00AD6EB3">
        <w:t>of oxygen are saved. As described in more detail below</w:t>
      </w:r>
      <w:r w:rsidR="00C95284">
        <w:t>, the model assumes that denitrification efficiency is 70% (a very rough estimate). Thus, 70% of the nitrate-N created by nitrification will be converted to nitrogen gas in the model.</w:t>
      </w:r>
      <w:r w:rsidR="00F75117">
        <w:t xml:space="preserve"> </w:t>
      </w:r>
      <w:r w:rsidR="00F75117">
        <w:rPr>
          <w:b/>
        </w:rPr>
        <w:t>Total oxygen supplied (</w:t>
      </w:r>
      <w:proofErr w:type="spellStart"/>
      <w:r w:rsidR="00F75117">
        <w:rPr>
          <w:b/>
        </w:rPr>
        <w:t>lb</w:t>
      </w:r>
      <w:proofErr w:type="spellEnd"/>
      <w:r w:rsidR="00F75117">
        <w:rPr>
          <w:b/>
        </w:rPr>
        <w:t>/day)</w:t>
      </w:r>
      <w:r w:rsidR="00F75117">
        <w:t xml:space="preserve"> is determined by the type and horsepower of aeration equipment being used at the given operating conditions.</w:t>
      </w:r>
    </w:p>
    <w:p w14:paraId="426D75C0" w14:textId="77777777" w:rsidR="00214B4F" w:rsidRDefault="00214B4F" w:rsidP="00CB3C92"/>
    <w:p w14:paraId="7624DF3B" w14:textId="77777777" w:rsidR="005C5446" w:rsidRDefault="005C5446" w:rsidP="00CB3C92"/>
    <w:p w14:paraId="7F94D3D0" w14:textId="77777777" w:rsidR="005C5446" w:rsidRDefault="005C5446" w:rsidP="00CB3C92"/>
    <w:tbl>
      <w:tblPr>
        <w:tblW w:w="5400" w:type="dxa"/>
        <w:jc w:val="center"/>
        <w:tblLook w:val="04A0" w:firstRow="1" w:lastRow="0" w:firstColumn="1" w:lastColumn="0" w:noHBand="0" w:noVBand="1"/>
      </w:tblPr>
      <w:tblGrid>
        <w:gridCol w:w="4725"/>
        <w:gridCol w:w="721"/>
      </w:tblGrid>
      <w:tr w:rsidR="005C5446" w:rsidRPr="005C5446" w14:paraId="02B3E9E2" w14:textId="77777777" w:rsidTr="005C5446">
        <w:trPr>
          <w:trHeight w:val="799"/>
          <w:jc w:val="center"/>
        </w:trPr>
        <w:tc>
          <w:tcPr>
            <w:tcW w:w="5400" w:type="dxa"/>
            <w:gridSpan w:val="2"/>
            <w:tcBorders>
              <w:top w:val="double" w:sz="6" w:space="0" w:color="auto"/>
              <w:left w:val="double" w:sz="6" w:space="0" w:color="auto"/>
              <w:bottom w:val="single" w:sz="8" w:space="0" w:color="auto"/>
              <w:right w:val="double" w:sz="6" w:space="0" w:color="000000"/>
            </w:tcBorders>
            <w:shd w:val="clear" w:color="000000" w:fill="2F75B5"/>
            <w:noWrap/>
            <w:vAlign w:val="center"/>
            <w:hideMark/>
          </w:tcPr>
          <w:p w14:paraId="0B8EDCA9" w14:textId="77777777" w:rsidR="005C5446" w:rsidRPr="005C5446" w:rsidRDefault="005C5446" w:rsidP="005C5446">
            <w:pPr>
              <w:spacing w:line="240" w:lineRule="auto"/>
              <w:jc w:val="center"/>
              <w:rPr>
                <w:rFonts w:ascii="Calibri" w:eastAsia="Times New Roman" w:hAnsi="Calibri"/>
                <w:b/>
                <w:bCs/>
                <w:color w:val="FFFFFF"/>
              </w:rPr>
            </w:pPr>
            <w:r w:rsidRPr="005C5446">
              <w:rPr>
                <w:rFonts w:ascii="Calibri" w:eastAsia="Times New Roman" w:hAnsi="Calibri"/>
                <w:b/>
                <w:bCs/>
                <w:color w:val="FFFFFF"/>
              </w:rPr>
              <w:t>Approximate Operating Conditions</w:t>
            </w:r>
          </w:p>
        </w:tc>
      </w:tr>
      <w:tr w:rsidR="005C5446" w:rsidRPr="005C5446" w14:paraId="0F76B0A1" w14:textId="77777777" w:rsidTr="005C5446">
        <w:trPr>
          <w:trHeight w:val="402"/>
          <w:jc w:val="center"/>
        </w:trPr>
        <w:tc>
          <w:tcPr>
            <w:tcW w:w="4725" w:type="dxa"/>
            <w:tcBorders>
              <w:top w:val="nil"/>
              <w:left w:val="double" w:sz="6" w:space="0" w:color="auto"/>
              <w:bottom w:val="single" w:sz="4" w:space="0" w:color="auto"/>
              <w:right w:val="single" w:sz="4" w:space="0" w:color="auto"/>
            </w:tcBorders>
            <w:shd w:val="clear" w:color="000000" w:fill="9BC2E6"/>
            <w:noWrap/>
            <w:vAlign w:val="center"/>
            <w:hideMark/>
          </w:tcPr>
          <w:p w14:paraId="4B203634" w14:textId="77777777" w:rsidR="005C5446" w:rsidRPr="005C5446" w:rsidRDefault="005C5446" w:rsidP="005C5446">
            <w:pPr>
              <w:spacing w:line="240" w:lineRule="auto"/>
              <w:jc w:val="center"/>
              <w:rPr>
                <w:rFonts w:ascii="Calibri" w:eastAsia="Times New Roman" w:hAnsi="Calibri"/>
                <w:sz w:val="22"/>
                <w:szCs w:val="22"/>
              </w:rPr>
            </w:pPr>
            <w:r w:rsidRPr="005C5446">
              <w:rPr>
                <w:rFonts w:ascii="Calibri" w:eastAsia="Times New Roman" w:hAnsi="Calibri"/>
                <w:sz w:val="22"/>
                <w:szCs w:val="22"/>
              </w:rPr>
              <w:t>Total average daily flow rate (</w:t>
            </w:r>
            <w:proofErr w:type="spellStart"/>
            <w:r w:rsidRPr="005C5446">
              <w:rPr>
                <w:rFonts w:ascii="Calibri" w:eastAsia="Times New Roman" w:hAnsi="Calibri"/>
                <w:sz w:val="22"/>
                <w:szCs w:val="22"/>
              </w:rPr>
              <w:t>mgd</w:t>
            </w:r>
            <w:proofErr w:type="spellEnd"/>
            <w:r w:rsidRPr="005C5446">
              <w:rPr>
                <w:rFonts w:ascii="Calibri" w:eastAsia="Times New Roman" w:hAnsi="Calibri"/>
                <w:sz w:val="22"/>
                <w:szCs w:val="22"/>
              </w:rPr>
              <w:t>)</w:t>
            </w:r>
          </w:p>
        </w:tc>
        <w:tc>
          <w:tcPr>
            <w:tcW w:w="675" w:type="dxa"/>
            <w:tcBorders>
              <w:top w:val="nil"/>
              <w:left w:val="nil"/>
              <w:bottom w:val="single" w:sz="4" w:space="0" w:color="auto"/>
              <w:right w:val="double" w:sz="6" w:space="0" w:color="auto"/>
            </w:tcBorders>
            <w:shd w:val="clear" w:color="000000" w:fill="DDEBF7"/>
            <w:noWrap/>
            <w:vAlign w:val="center"/>
            <w:hideMark/>
          </w:tcPr>
          <w:p w14:paraId="2DCC3E16" w14:textId="77777777" w:rsidR="005C5446" w:rsidRPr="005C5446" w:rsidRDefault="005C5446" w:rsidP="005C5446">
            <w:pPr>
              <w:spacing w:line="240" w:lineRule="auto"/>
              <w:jc w:val="center"/>
              <w:rPr>
                <w:rFonts w:ascii="Calibri" w:eastAsia="Times New Roman" w:hAnsi="Calibri"/>
                <w:b/>
                <w:bCs/>
                <w:sz w:val="22"/>
                <w:szCs w:val="22"/>
              </w:rPr>
            </w:pPr>
            <w:r w:rsidRPr="005C5446">
              <w:rPr>
                <w:rFonts w:ascii="Calibri" w:eastAsia="Times New Roman" w:hAnsi="Calibri"/>
                <w:b/>
                <w:bCs/>
                <w:sz w:val="22"/>
                <w:szCs w:val="22"/>
              </w:rPr>
              <w:t>2.85</w:t>
            </w:r>
          </w:p>
        </w:tc>
      </w:tr>
      <w:tr w:rsidR="005C5446" w:rsidRPr="005C5446" w14:paraId="49600BBD" w14:textId="77777777" w:rsidTr="005C5446">
        <w:trPr>
          <w:trHeight w:val="402"/>
          <w:jc w:val="center"/>
        </w:trPr>
        <w:tc>
          <w:tcPr>
            <w:tcW w:w="4725" w:type="dxa"/>
            <w:tcBorders>
              <w:top w:val="nil"/>
              <w:left w:val="double" w:sz="6" w:space="0" w:color="auto"/>
              <w:bottom w:val="single" w:sz="4" w:space="0" w:color="auto"/>
              <w:right w:val="single" w:sz="4" w:space="0" w:color="auto"/>
            </w:tcBorders>
            <w:shd w:val="clear" w:color="000000" w:fill="9BC2E6"/>
            <w:noWrap/>
            <w:vAlign w:val="center"/>
            <w:hideMark/>
          </w:tcPr>
          <w:p w14:paraId="5762D3C6" w14:textId="77777777" w:rsidR="005C5446" w:rsidRPr="005C5446" w:rsidRDefault="005C5446" w:rsidP="005C5446">
            <w:pPr>
              <w:spacing w:line="240" w:lineRule="auto"/>
              <w:jc w:val="center"/>
              <w:rPr>
                <w:rFonts w:ascii="Calibri" w:eastAsia="Times New Roman" w:hAnsi="Calibri"/>
                <w:sz w:val="22"/>
                <w:szCs w:val="22"/>
              </w:rPr>
            </w:pPr>
            <w:r w:rsidRPr="005C5446">
              <w:rPr>
                <w:rFonts w:ascii="Calibri" w:eastAsia="Times New Roman" w:hAnsi="Calibri"/>
                <w:sz w:val="22"/>
                <w:szCs w:val="22"/>
              </w:rPr>
              <w:t>Aeration volume in service (mil gal)</w:t>
            </w:r>
          </w:p>
        </w:tc>
        <w:tc>
          <w:tcPr>
            <w:tcW w:w="675" w:type="dxa"/>
            <w:tcBorders>
              <w:top w:val="nil"/>
              <w:left w:val="nil"/>
              <w:bottom w:val="single" w:sz="4" w:space="0" w:color="auto"/>
              <w:right w:val="double" w:sz="6" w:space="0" w:color="auto"/>
            </w:tcBorders>
            <w:shd w:val="clear" w:color="000000" w:fill="DDEBF7"/>
            <w:noWrap/>
            <w:vAlign w:val="center"/>
            <w:hideMark/>
          </w:tcPr>
          <w:p w14:paraId="0563311E" w14:textId="77777777" w:rsidR="005C5446" w:rsidRPr="005C5446" w:rsidRDefault="005C5446" w:rsidP="005C5446">
            <w:pPr>
              <w:spacing w:line="240" w:lineRule="auto"/>
              <w:jc w:val="center"/>
              <w:rPr>
                <w:rFonts w:ascii="Calibri" w:eastAsia="Times New Roman" w:hAnsi="Calibri"/>
                <w:b/>
                <w:bCs/>
                <w:sz w:val="22"/>
                <w:szCs w:val="22"/>
              </w:rPr>
            </w:pPr>
            <w:r w:rsidRPr="005C5446">
              <w:rPr>
                <w:rFonts w:ascii="Calibri" w:eastAsia="Times New Roman" w:hAnsi="Calibri"/>
                <w:b/>
                <w:bCs/>
                <w:sz w:val="22"/>
                <w:szCs w:val="22"/>
              </w:rPr>
              <w:t>0.98</w:t>
            </w:r>
          </w:p>
        </w:tc>
      </w:tr>
      <w:tr w:rsidR="005C5446" w:rsidRPr="005C5446" w14:paraId="60DFE9EE" w14:textId="77777777" w:rsidTr="005C5446">
        <w:trPr>
          <w:trHeight w:val="402"/>
          <w:jc w:val="center"/>
        </w:trPr>
        <w:tc>
          <w:tcPr>
            <w:tcW w:w="4725" w:type="dxa"/>
            <w:tcBorders>
              <w:top w:val="nil"/>
              <w:left w:val="double" w:sz="6" w:space="0" w:color="auto"/>
              <w:bottom w:val="single" w:sz="4" w:space="0" w:color="auto"/>
              <w:right w:val="single" w:sz="4" w:space="0" w:color="auto"/>
            </w:tcBorders>
            <w:shd w:val="clear" w:color="000000" w:fill="9BC2E6"/>
            <w:noWrap/>
            <w:vAlign w:val="center"/>
            <w:hideMark/>
          </w:tcPr>
          <w:p w14:paraId="04AF2236" w14:textId="77777777" w:rsidR="005C5446" w:rsidRPr="005C5446" w:rsidRDefault="005C5446" w:rsidP="005C5446">
            <w:pPr>
              <w:spacing w:line="240" w:lineRule="auto"/>
              <w:jc w:val="center"/>
              <w:rPr>
                <w:rFonts w:ascii="Calibri" w:eastAsia="Times New Roman" w:hAnsi="Calibri"/>
                <w:sz w:val="22"/>
                <w:szCs w:val="22"/>
              </w:rPr>
            </w:pPr>
            <w:r w:rsidRPr="005C5446">
              <w:rPr>
                <w:rFonts w:ascii="Calibri" w:eastAsia="Times New Roman" w:hAnsi="Calibri"/>
                <w:sz w:val="22"/>
                <w:szCs w:val="22"/>
              </w:rPr>
              <w:t>Influent BOD5 concentration (mg/L)</w:t>
            </w:r>
          </w:p>
        </w:tc>
        <w:tc>
          <w:tcPr>
            <w:tcW w:w="675" w:type="dxa"/>
            <w:tcBorders>
              <w:top w:val="nil"/>
              <w:left w:val="nil"/>
              <w:bottom w:val="single" w:sz="4" w:space="0" w:color="auto"/>
              <w:right w:val="double" w:sz="6" w:space="0" w:color="auto"/>
            </w:tcBorders>
            <w:shd w:val="clear" w:color="000000" w:fill="DDEBF7"/>
            <w:noWrap/>
            <w:vAlign w:val="center"/>
            <w:hideMark/>
          </w:tcPr>
          <w:p w14:paraId="4DC02F35" w14:textId="77777777" w:rsidR="005C5446" w:rsidRPr="005C5446" w:rsidRDefault="005C5446" w:rsidP="005C5446">
            <w:pPr>
              <w:spacing w:line="240" w:lineRule="auto"/>
              <w:jc w:val="center"/>
              <w:rPr>
                <w:rFonts w:ascii="Calibri" w:eastAsia="Times New Roman" w:hAnsi="Calibri"/>
                <w:b/>
                <w:bCs/>
                <w:sz w:val="22"/>
                <w:szCs w:val="22"/>
              </w:rPr>
            </w:pPr>
            <w:r w:rsidRPr="005C5446">
              <w:rPr>
                <w:rFonts w:ascii="Calibri" w:eastAsia="Times New Roman" w:hAnsi="Calibri"/>
                <w:b/>
                <w:bCs/>
                <w:sz w:val="22"/>
                <w:szCs w:val="22"/>
              </w:rPr>
              <w:t>142</w:t>
            </w:r>
          </w:p>
        </w:tc>
      </w:tr>
      <w:tr w:rsidR="005C5446" w:rsidRPr="005C5446" w14:paraId="56F0D21B" w14:textId="77777777" w:rsidTr="005C5446">
        <w:trPr>
          <w:trHeight w:val="402"/>
          <w:jc w:val="center"/>
        </w:trPr>
        <w:tc>
          <w:tcPr>
            <w:tcW w:w="4725" w:type="dxa"/>
            <w:tcBorders>
              <w:top w:val="nil"/>
              <w:left w:val="double" w:sz="6" w:space="0" w:color="auto"/>
              <w:bottom w:val="single" w:sz="4" w:space="0" w:color="auto"/>
              <w:right w:val="single" w:sz="4" w:space="0" w:color="auto"/>
            </w:tcBorders>
            <w:shd w:val="clear" w:color="000000" w:fill="9BC2E6"/>
            <w:noWrap/>
            <w:vAlign w:val="center"/>
            <w:hideMark/>
          </w:tcPr>
          <w:p w14:paraId="091E3BF6" w14:textId="77777777" w:rsidR="005C5446" w:rsidRPr="005C5446" w:rsidRDefault="005C5446" w:rsidP="005C5446">
            <w:pPr>
              <w:spacing w:line="240" w:lineRule="auto"/>
              <w:jc w:val="center"/>
              <w:rPr>
                <w:rFonts w:ascii="Calibri" w:eastAsia="Times New Roman" w:hAnsi="Calibri"/>
                <w:sz w:val="22"/>
                <w:szCs w:val="22"/>
              </w:rPr>
            </w:pPr>
            <w:r w:rsidRPr="005C5446">
              <w:rPr>
                <w:rFonts w:ascii="Calibri" w:eastAsia="Times New Roman" w:hAnsi="Calibri"/>
                <w:sz w:val="22"/>
                <w:szCs w:val="22"/>
              </w:rPr>
              <w:t>Influent BOD5 mass loading (</w:t>
            </w:r>
            <w:proofErr w:type="spellStart"/>
            <w:r w:rsidRPr="005C5446">
              <w:rPr>
                <w:rFonts w:ascii="Calibri" w:eastAsia="Times New Roman" w:hAnsi="Calibri"/>
                <w:sz w:val="22"/>
                <w:szCs w:val="22"/>
              </w:rPr>
              <w:t>lb</w:t>
            </w:r>
            <w:proofErr w:type="spellEnd"/>
            <w:r w:rsidRPr="005C5446">
              <w:rPr>
                <w:rFonts w:ascii="Calibri" w:eastAsia="Times New Roman" w:hAnsi="Calibri"/>
                <w:sz w:val="22"/>
                <w:szCs w:val="22"/>
              </w:rPr>
              <w:t>/day)</w:t>
            </w:r>
          </w:p>
        </w:tc>
        <w:tc>
          <w:tcPr>
            <w:tcW w:w="675" w:type="dxa"/>
            <w:tcBorders>
              <w:top w:val="nil"/>
              <w:left w:val="nil"/>
              <w:bottom w:val="single" w:sz="4" w:space="0" w:color="auto"/>
              <w:right w:val="double" w:sz="6" w:space="0" w:color="auto"/>
            </w:tcBorders>
            <w:shd w:val="clear" w:color="000000" w:fill="DDEBF7"/>
            <w:noWrap/>
            <w:vAlign w:val="center"/>
            <w:hideMark/>
          </w:tcPr>
          <w:p w14:paraId="67EF0071" w14:textId="77777777" w:rsidR="005C5446" w:rsidRPr="005C5446" w:rsidRDefault="005C5446" w:rsidP="005C5446">
            <w:pPr>
              <w:spacing w:line="240" w:lineRule="auto"/>
              <w:jc w:val="center"/>
              <w:rPr>
                <w:rFonts w:ascii="Calibri" w:eastAsia="Times New Roman" w:hAnsi="Calibri"/>
                <w:b/>
                <w:bCs/>
                <w:sz w:val="22"/>
                <w:szCs w:val="22"/>
              </w:rPr>
            </w:pPr>
            <w:r w:rsidRPr="005C5446">
              <w:rPr>
                <w:rFonts w:ascii="Calibri" w:eastAsia="Times New Roman" w:hAnsi="Calibri"/>
                <w:b/>
                <w:bCs/>
                <w:sz w:val="22"/>
                <w:szCs w:val="22"/>
              </w:rPr>
              <w:t>3,375</w:t>
            </w:r>
          </w:p>
        </w:tc>
      </w:tr>
      <w:tr w:rsidR="005C5446" w:rsidRPr="005C5446" w14:paraId="7F69D0FD" w14:textId="77777777" w:rsidTr="005C5446">
        <w:trPr>
          <w:trHeight w:val="402"/>
          <w:jc w:val="center"/>
        </w:trPr>
        <w:tc>
          <w:tcPr>
            <w:tcW w:w="4725" w:type="dxa"/>
            <w:tcBorders>
              <w:top w:val="nil"/>
              <w:left w:val="double" w:sz="6" w:space="0" w:color="auto"/>
              <w:bottom w:val="single" w:sz="4" w:space="0" w:color="auto"/>
              <w:right w:val="single" w:sz="4" w:space="0" w:color="auto"/>
            </w:tcBorders>
            <w:shd w:val="clear" w:color="000000" w:fill="9BC2E6"/>
            <w:noWrap/>
            <w:vAlign w:val="center"/>
            <w:hideMark/>
          </w:tcPr>
          <w:p w14:paraId="6FB93497" w14:textId="77777777" w:rsidR="005C5446" w:rsidRPr="005C5446" w:rsidRDefault="005C5446" w:rsidP="005C5446">
            <w:pPr>
              <w:spacing w:line="240" w:lineRule="auto"/>
              <w:jc w:val="center"/>
              <w:rPr>
                <w:rFonts w:ascii="Calibri" w:eastAsia="Times New Roman" w:hAnsi="Calibri"/>
                <w:sz w:val="22"/>
                <w:szCs w:val="22"/>
              </w:rPr>
            </w:pPr>
            <w:r w:rsidRPr="005C5446">
              <w:rPr>
                <w:rFonts w:ascii="Calibri" w:eastAsia="Times New Roman" w:hAnsi="Calibri"/>
                <w:sz w:val="22"/>
                <w:szCs w:val="22"/>
              </w:rPr>
              <w:t xml:space="preserve">Sec </w:t>
            </w:r>
            <w:proofErr w:type="spellStart"/>
            <w:r w:rsidRPr="005C5446">
              <w:rPr>
                <w:rFonts w:ascii="Calibri" w:eastAsia="Times New Roman" w:hAnsi="Calibri"/>
                <w:sz w:val="22"/>
                <w:szCs w:val="22"/>
              </w:rPr>
              <w:t>ww</w:t>
            </w:r>
            <w:proofErr w:type="spellEnd"/>
            <w:r w:rsidRPr="005C5446">
              <w:rPr>
                <w:rFonts w:ascii="Calibri" w:eastAsia="Times New Roman" w:hAnsi="Calibri"/>
                <w:sz w:val="22"/>
                <w:szCs w:val="22"/>
              </w:rPr>
              <w:t xml:space="preserve"> </w:t>
            </w:r>
            <w:proofErr w:type="spellStart"/>
            <w:r w:rsidRPr="005C5446">
              <w:rPr>
                <w:rFonts w:ascii="Calibri" w:eastAsia="Times New Roman" w:hAnsi="Calibri"/>
                <w:sz w:val="22"/>
                <w:szCs w:val="22"/>
              </w:rPr>
              <w:t>Oxid</w:t>
            </w:r>
            <w:proofErr w:type="spellEnd"/>
            <w:r w:rsidRPr="005C5446">
              <w:rPr>
                <w:rFonts w:ascii="Calibri" w:eastAsia="Times New Roman" w:hAnsi="Calibri"/>
                <w:sz w:val="22"/>
                <w:szCs w:val="22"/>
              </w:rPr>
              <w:t xml:space="preserve"> N load (</w:t>
            </w:r>
            <w:proofErr w:type="spellStart"/>
            <w:r w:rsidRPr="005C5446">
              <w:rPr>
                <w:rFonts w:ascii="Calibri" w:eastAsia="Times New Roman" w:hAnsi="Calibri"/>
                <w:sz w:val="22"/>
                <w:szCs w:val="22"/>
              </w:rPr>
              <w:t>lb</w:t>
            </w:r>
            <w:proofErr w:type="spellEnd"/>
            <w:r w:rsidRPr="005C5446">
              <w:rPr>
                <w:rFonts w:ascii="Calibri" w:eastAsia="Times New Roman" w:hAnsi="Calibri"/>
                <w:sz w:val="22"/>
                <w:szCs w:val="22"/>
              </w:rPr>
              <w:t xml:space="preserve">/day) </w:t>
            </w:r>
          </w:p>
        </w:tc>
        <w:tc>
          <w:tcPr>
            <w:tcW w:w="675" w:type="dxa"/>
            <w:tcBorders>
              <w:top w:val="nil"/>
              <w:left w:val="nil"/>
              <w:bottom w:val="single" w:sz="4" w:space="0" w:color="auto"/>
              <w:right w:val="double" w:sz="6" w:space="0" w:color="auto"/>
            </w:tcBorders>
            <w:shd w:val="clear" w:color="000000" w:fill="DDEBF7"/>
            <w:noWrap/>
            <w:vAlign w:val="center"/>
            <w:hideMark/>
          </w:tcPr>
          <w:p w14:paraId="2F237C71" w14:textId="77777777" w:rsidR="005C5446" w:rsidRPr="005C5446" w:rsidRDefault="005C5446" w:rsidP="005C5446">
            <w:pPr>
              <w:spacing w:line="240" w:lineRule="auto"/>
              <w:jc w:val="center"/>
              <w:rPr>
                <w:rFonts w:ascii="Calibri" w:eastAsia="Times New Roman" w:hAnsi="Calibri"/>
                <w:b/>
                <w:bCs/>
                <w:sz w:val="22"/>
                <w:szCs w:val="22"/>
              </w:rPr>
            </w:pPr>
            <w:r w:rsidRPr="005C5446">
              <w:rPr>
                <w:rFonts w:ascii="Calibri" w:eastAsia="Times New Roman" w:hAnsi="Calibri"/>
                <w:b/>
                <w:bCs/>
                <w:sz w:val="22"/>
                <w:szCs w:val="22"/>
              </w:rPr>
              <w:t>594</w:t>
            </w:r>
          </w:p>
        </w:tc>
      </w:tr>
      <w:tr w:rsidR="005C5446" w:rsidRPr="005C5446" w14:paraId="7E01F93F" w14:textId="77777777" w:rsidTr="005C5446">
        <w:trPr>
          <w:trHeight w:val="402"/>
          <w:jc w:val="center"/>
        </w:trPr>
        <w:tc>
          <w:tcPr>
            <w:tcW w:w="4725" w:type="dxa"/>
            <w:tcBorders>
              <w:top w:val="nil"/>
              <w:left w:val="double" w:sz="6" w:space="0" w:color="auto"/>
              <w:bottom w:val="single" w:sz="4" w:space="0" w:color="auto"/>
              <w:right w:val="single" w:sz="4" w:space="0" w:color="auto"/>
            </w:tcBorders>
            <w:shd w:val="clear" w:color="000000" w:fill="9BC2E6"/>
            <w:noWrap/>
            <w:vAlign w:val="center"/>
            <w:hideMark/>
          </w:tcPr>
          <w:p w14:paraId="1983873A" w14:textId="77777777" w:rsidR="005C5446" w:rsidRPr="005C5446" w:rsidRDefault="005C5446" w:rsidP="005C5446">
            <w:pPr>
              <w:spacing w:line="240" w:lineRule="auto"/>
              <w:jc w:val="center"/>
              <w:rPr>
                <w:rFonts w:ascii="Calibri" w:eastAsia="Times New Roman" w:hAnsi="Calibri"/>
                <w:sz w:val="22"/>
                <w:szCs w:val="22"/>
              </w:rPr>
            </w:pPr>
            <w:r w:rsidRPr="005C5446">
              <w:rPr>
                <w:rFonts w:ascii="Calibri" w:eastAsia="Times New Roman" w:hAnsi="Calibri"/>
                <w:sz w:val="22"/>
                <w:szCs w:val="22"/>
              </w:rPr>
              <w:t xml:space="preserve">Sec </w:t>
            </w:r>
            <w:proofErr w:type="spellStart"/>
            <w:r w:rsidRPr="005C5446">
              <w:rPr>
                <w:rFonts w:ascii="Calibri" w:eastAsia="Times New Roman" w:hAnsi="Calibri"/>
                <w:sz w:val="22"/>
                <w:szCs w:val="22"/>
              </w:rPr>
              <w:t>ww</w:t>
            </w:r>
            <w:proofErr w:type="spellEnd"/>
            <w:r w:rsidRPr="005C5446">
              <w:rPr>
                <w:rFonts w:ascii="Calibri" w:eastAsia="Times New Roman" w:hAnsi="Calibri"/>
                <w:sz w:val="22"/>
                <w:szCs w:val="22"/>
              </w:rPr>
              <w:t xml:space="preserve"> TSS load (</w:t>
            </w:r>
            <w:proofErr w:type="spellStart"/>
            <w:r w:rsidRPr="005C5446">
              <w:rPr>
                <w:rFonts w:ascii="Calibri" w:eastAsia="Times New Roman" w:hAnsi="Calibri"/>
                <w:sz w:val="22"/>
                <w:szCs w:val="22"/>
              </w:rPr>
              <w:t>lb</w:t>
            </w:r>
            <w:proofErr w:type="spellEnd"/>
            <w:r w:rsidRPr="005C5446">
              <w:rPr>
                <w:rFonts w:ascii="Calibri" w:eastAsia="Times New Roman" w:hAnsi="Calibri"/>
                <w:sz w:val="22"/>
                <w:szCs w:val="22"/>
              </w:rPr>
              <w:t>/day)</w:t>
            </w:r>
          </w:p>
        </w:tc>
        <w:tc>
          <w:tcPr>
            <w:tcW w:w="675" w:type="dxa"/>
            <w:tcBorders>
              <w:top w:val="nil"/>
              <w:left w:val="nil"/>
              <w:bottom w:val="single" w:sz="4" w:space="0" w:color="auto"/>
              <w:right w:val="double" w:sz="6" w:space="0" w:color="auto"/>
            </w:tcBorders>
            <w:shd w:val="clear" w:color="000000" w:fill="DDEBF7"/>
            <w:noWrap/>
            <w:vAlign w:val="center"/>
            <w:hideMark/>
          </w:tcPr>
          <w:p w14:paraId="65E785B9" w14:textId="77777777" w:rsidR="005C5446" w:rsidRPr="005C5446" w:rsidRDefault="005C5446" w:rsidP="005C5446">
            <w:pPr>
              <w:spacing w:line="240" w:lineRule="auto"/>
              <w:jc w:val="center"/>
              <w:rPr>
                <w:rFonts w:ascii="Calibri" w:eastAsia="Times New Roman" w:hAnsi="Calibri"/>
                <w:b/>
                <w:bCs/>
                <w:sz w:val="22"/>
                <w:szCs w:val="22"/>
              </w:rPr>
            </w:pPr>
            <w:r w:rsidRPr="005C5446">
              <w:rPr>
                <w:rFonts w:ascii="Calibri" w:eastAsia="Times New Roman" w:hAnsi="Calibri"/>
                <w:b/>
                <w:bCs/>
                <w:sz w:val="22"/>
                <w:szCs w:val="22"/>
              </w:rPr>
              <w:t>5,087</w:t>
            </w:r>
          </w:p>
        </w:tc>
      </w:tr>
      <w:tr w:rsidR="005C5446" w:rsidRPr="005C5446" w14:paraId="71A39916" w14:textId="77777777" w:rsidTr="005C5446">
        <w:trPr>
          <w:trHeight w:val="402"/>
          <w:jc w:val="center"/>
        </w:trPr>
        <w:tc>
          <w:tcPr>
            <w:tcW w:w="4725" w:type="dxa"/>
            <w:tcBorders>
              <w:top w:val="nil"/>
              <w:left w:val="double" w:sz="6" w:space="0" w:color="auto"/>
              <w:bottom w:val="single" w:sz="4" w:space="0" w:color="auto"/>
              <w:right w:val="single" w:sz="4" w:space="0" w:color="auto"/>
            </w:tcBorders>
            <w:shd w:val="clear" w:color="000000" w:fill="9BC2E6"/>
            <w:noWrap/>
            <w:vAlign w:val="center"/>
            <w:hideMark/>
          </w:tcPr>
          <w:p w14:paraId="2CC3ED6F" w14:textId="77777777" w:rsidR="005C5446" w:rsidRPr="005C5446" w:rsidRDefault="005C5446" w:rsidP="005C5446">
            <w:pPr>
              <w:spacing w:line="240" w:lineRule="auto"/>
              <w:jc w:val="center"/>
              <w:rPr>
                <w:rFonts w:ascii="Calibri" w:eastAsia="Times New Roman" w:hAnsi="Calibri"/>
                <w:sz w:val="22"/>
                <w:szCs w:val="22"/>
              </w:rPr>
            </w:pPr>
            <w:r w:rsidRPr="005C5446">
              <w:rPr>
                <w:rFonts w:ascii="Calibri" w:eastAsia="Times New Roman" w:hAnsi="Calibri"/>
                <w:sz w:val="22"/>
                <w:szCs w:val="22"/>
              </w:rPr>
              <w:t>F/M ratio</w:t>
            </w:r>
          </w:p>
        </w:tc>
        <w:tc>
          <w:tcPr>
            <w:tcW w:w="675" w:type="dxa"/>
            <w:tcBorders>
              <w:top w:val="nil"/>
              <w:left w:val="nil"/>
              <w:bottom w:val="single" w:sz="4" w:space="0" w:color="auto"/>
              <w:right w:val="double" w:sz="6" w:space="0" w:color="auto"/>
            </w:tcBorders>
            <w:shd w:val="clear" w:color="000000" w:fill="DDEBF7"/>
            <w:noWrap/>
            <w:vAlign w:val="center"/>
            <w:hideMark/>
          </w:tcPr>
          <w:p w14:paraId="7378856D" w14:textId="77777777" w:rsidR="005C5446" w:rsidRPr="005C5446" w:rsidRDefault="005C5446" w:rsidP="005C5446">
            <w:pPr>
              <w:spacing w:line="240" w:lineRule="auto"/>
              <w:jc w:val="center"/>
              <w:rPr>
                <w:rFonts w:ascii="Calibri" w:eastAsia="Times New Roman" w:hAnsi="Calibri"/>
                <w:b/>
                <w:bCs/>
                <w:sz w:val="22"/>
                <w:szCs w:val="22"/>
              </w:rPr>
            </w:pPr>
            <w:r w:rsidRPr="005C5446">
              <w:rPr>
                <w:rFonts w:ascii="Calibri" w:eastAsia="Times New Roman" w:hAnsi="Calibri"/>
                <w:b/>
                <w:bCs/>
                <w:sz w:val="22"/>
                <w:szCs w:val="22"/>
              </w:rPr>
              <w:t>0.143</w:t>
            </w:r>
          </w:p>
        </w:tc>
      </w:tr>
      <w:tr w:rsidR="005C5446" w:rsidRPr="005C5446" w14:paraId="241C305F" w14:textId="77777777" w:rsidTr="005C5446">
        <w:trPr>
          <w:trHeight w:val="402"/>
          <w:jc w:val="center"/>
        </w:trPr>
        <w:tc>
          <w:tcPr>
            <w:tcW w:w="4725" w:type="dxa"/>
            <w:tcBorders>
              <w:top w:val="nil"/>
              <w:left w:val="double" w:sz="6" w:space="0" w:color="auto"/>
              <w:bottom w:val="single" w:sz="4" w:space="0" w:color="auto"/>
              <w:right w:val="single" w:sz="4" w:space="0" w:color="auto"/>
            </w:tcBorders>
            <w:shd w:val="clear" w:color="000000" w:fill="9BC2E6"/>
            <w:noWrap/>
            <w:vAlign w:val="center"/>
            <w:hideMark/>
          </w:tcPr>
          <w:p w14:paraId="2C34CFD0" w14:textId="77777777" w:rsidR="005C5446" w:rsidRPr="005C5446" w:rsidRDefault="005C5446" w:rsidP="005C5446">
            <w:pPr>
              <w:spacing w:line="240" w:lineRule="auto"/>
              <w:jc w:val="center"/>
              <w:rPr>
                <w:rFonts w:ascii="Calibri" w:eastAsia="Times New Roman" w:hAnsi="Calibri"/>
                <w:sz w:val="22"/>
                <w:szCs w:val="22"/>
              </w:rPr>
            </w:pPr>
            <w:r w:rsidRPr="005C5446">
              <w:rPr>
                <w:rFonts w:ascii="Calibri" w:eastAsia="Times New Roman" w:hAnsi="Calibri"/>
                <w:sz w:val="22"/>
                <w:szCs w:val="22"/>
              </w:rPr>
              <w:t>Solids Retention Time (day)</w:t>
            </w:r>
          </w:p>
        </w:tc>
        <w:tc>
          <w:tcPr>
            <w:tcW w:w="675" w:type="dxa"/>
            <w:tcBorders>
              <w:top w:val="nil"/>
              <w:left w:val="nil"/>
              <w:bottom w:val="single" w:sz="4" w:space="0" w:color="auto"/>
              <w:right w:val="double" w:sz="6" w:space="0" w:color="auto"/>
            </w:tcBorders>
            <w:shd w:val="clear" w:color="000000" w:fill="DDEBF7"/>
            <w:noWrap/>
            <w:vAlign w:val="center"/>
            <w:hideMark/>
          </w:tcPr>
          <w:p w14:paraId="01152AEB" w14:textId="77777777" w:rsidR="005C5446" w:rsidRPr="005C5446" w:rsidRDefault="005C5446" w:rsidP="005C5446">
            <w:pPr>
              <w:spacing w:line="240" w:lineRule="auto"/>
              <w:jc w:val="center"/>
              <w:rPr>
                <w:rFonts w:ascii="Calibri" w:eastAsia="Times New Roman" w:hAnsi="Calibri"/>
                <w:b/>
                <w:bCs/>
                <w:sz w:val="22"/>
                <w:szCs w:val="22"/>
              </w:rPr>
            </w:pPr>
            <w:r w:rsidRPr="005C5446">
              <w:rPr>
                <w:rFonts w:ascii="Calibri" w:eastAsia="Times New Roman" w:hAnsi="Calibri"/>
                <w:b/>
                <w:bCs/>
                <w:sz w:val="22"/>
                <w:szCs w:val="22"/>
              </w:rPr>
              <w:t>12.0</w:t>
            </w:r>
          </w:p>
        </w:tc>
      </w:tr>
      <w:tr w:rsidR="005C5446" w:rsidRPr="005C5446" w14:paraId="4D5A997B" w14:textId="77777777" w:rsidTr="005C5446">
        <w:trPr>
          <w:trHeight w:val="402"/>
          <w:jc w:val="center"/>
        </w:trPr>
        <w:tc>
          <w:tcPr>
            <w:tcW w:w="4725" w:type="dxa"/>
            <w:tcBorders>
              <w:top w:val="nil"/>
              <w:left w:val="double" w:sz="6" w:space="0" w:color="auto"/>
              <w:bottom w:val="single" w:sz="4" w:space="0" w:color="auto"/>
              <w:right w:val="single" w:sz="4" w:space="0" w:color="auto"/>
            </w:tcBorders>
            <w:shd w:val="clear" w:color="000000" w:fill="9BC2E6"/>
            <w:noWrap/>
            <w:vAlign w:val="center"/>
            <w:hideMark/>
          </w:tcPr>
          <w:p w14:paraId="68786C6D" w14:textId="77777777" w:rsidR="005C5446" w:rsidRPr="005C5446" w:rsidRDefault="005C5446" w:rsidP="005C5446">
            <w:pPr>
              <w:spacing w:line="240" w:lineRule="auto"/>
              <w:jc w:val="center"/>
              <w:rPr>
                <w:rFonts w:ascii="Calibri" w:eastAsia="Times New Roman" w:hAnsi="Calibri"/>
                <w:sz w:val="22"/>
                <w:szCs w:val="22"/>
              </w:rPr>
            </w:pPr>
            <w:r w:rsidRPr="005C5446">
              <w:rPr>
                <w:rFonts w:ascii="Calibri" w:eastAsia="Times New Roman" w:hAnsi="Calibri"/>
                <w:sz w:val="22"/>
                <w:szCs w:val="22"/>
              </w:rPr>
              <w:t>MLSS (mg/L)</w:t>
            </w:r>
          </w:p>
        </w:tc>
        <w:tc>
          <w:tcPr>
            <w:tcW w:w="675" w:type="dxa"/>
            <w:tcBorders>
              <w:top w:val="nil"/>
              <w:left w:val="nil"/>
              <w:bottom w:val="single" w:sz="4" w:space="0" w:color="auto"/>
              <w:right w:val="double" w:sz="6" w:space="0" w:color="auto"/>
            </w:tcBorders>
            <w:shd w:val="clear" w:color="000000" w:fill="DDEBF7"/>
            <w:noWrap/>
            <w:vAlign w:val="center"/>
            <w:hideMark/>
          </w:tcPr>
          <w:p w14:paraId="6EE4749D" w14:textId="77777777" w:rsidR="005C5446" w:rsidRPr="005C5446" w:rsidRDefault="005C5446" w:rsidP="005C5446">
            <w:pPr>
              <w:spacing w:line="240" w:lineRule="auto"/>
              <w:jc w:val="center"/>
              <w:rPr>
                <w:rFonts w:ascii="Calibri" w:eastAsia="Times New Roman" w:hAnsi="Calibri"/>
                <w:b/>
                <w:bCs/>
                <w:sz w:val="22"/>
                <w:szCs w:val="22"/>
              </w:rPr>
            </w:pPr>
            <w:r w:rsidRPr="005C5446">
              <w:rPr>
                <w:rFonts w:ascii="Calibri" w:eastAsia="Times New Roman" w:hAnsi="Calibri"/>
                <w:b/>
                <w:bCs/>
                <w:sz w:val="22"/>
                <w:szCs w:val="22"/>
              </w:rPr>
              <w:t>3,845</w:t>
            </w:r>
          </w:p>
        </w:tc>
      </w:tr>
      <w:tr w:rsidR="005C5446" w:rsidRPr="005C5446" w14:paraId="7CE7CF84" w14:textId="77777777" w:rsidTr="005C5446">
        <w:trPr>
          <w:trHeight w:val="402"/>
          <w:jc w:val="center"/>
        </w:trPr>
        <w:tc>
          <w:tcPr>
            <w:tcW w:w="4725" w:type="dxa"/>
            <w:tcBorders>
              <w:top w:val="nil"/>
              <w:left w:val="double" w:sz="6" w:space="0" w:color="auto"/>
              <w:bottom w:val="single" w:sz="4" w:space="0" w:color="auto"/>
              <w:right w:val="single" w:sz="4" w:space="0" w:color="auto"/>
            </w:tcBorders>
            <w:shd w:val="clear" w:color="000000" w:fill="9BC2E6"/>
            <w:noWrap/>
            <w:vAlign w:val="center"/>
            <w:hideMark/>
          </w:tcPr>
          <w:p w14:paraId="27BED3A2" w14:textId="77777777" w:rsidR="005C5446" w:rsidRPr="005C5446" w:rsidRDefault="005C5446" w:rsidP="005C5446">
            <w:pPr>
              <w:spacing w:line="240" w:lineRule="auto"/>
              <w:jc w:val="center"/>
              <w:rPr>
                <w:rFonts w:ascii="Calibri" w:eastAsia="Times New Roman" w:hAnsi="Calibri"/>
                <w:sz w:val="22"/>
                <w:szCs w:val="22"/>
              </w:rPr>
            </w:pPr>
            <w:r w:rsidRPr="005C5446">
              <w:rPr>
                <w:rFonts w:ascii="Calibri" w:eastAsia="Times New Roman" w:hAnsi="Calibri"/>
                <w:sz w:val="22"/>
                <w:szCs w:val="22"/>
              </w:rPr>
              <w:t>MLVSS (mg/L)</w:t>
            </w:r>
          </w:p>
        </w:tc>
        <w:tc>
          <w:tcPr>
            <w:tcW w:w="675" w:type="dxa"/>
            <w:tcBorders>
              <w:top w:val="nil"/>
              <w:left w:val="nil"/>
              <w:bottom w:val="single" w:sz="4" w:space="0" w:color="auto"/>
              <w:right w:val="double" w:sz="6" w:space="0" w:color="auto"/>
            </w:tcBorders>
            <w:shd w:val="clear" w:color="000000" w:fill="DDEBF7"/>
            <w:noWrap/>
            <w:vAlign w:val="center"/>
            <w:hideMark/>
          </w:tcPr>
          <w:p w14:paraId="5EC9C06C" w14:textId="77777777" w:rsidR="005C5446" w:rsidRPr="005C5446" w:rsidRDefault="005C5446" w:rsidP="005C5446">
            <w:pPr>
              <w:spacing w:line="240" w:lineRule="auto"/>
              <w:jc w:val="center"/>
              <w:rPr>
                <w:rFonts w:ascii="Calibri" w:eastAsia="Times New Roman" w:hAnsi="Calibri"/>
                <w:b/>
                <w:bCs/>
                <w:sz w:val="22"/>
                <w:szCs w:val="22"/>
              </w:rPr>
            </w:pPr>
            <w:r w:rsidRPr="005C5446">
              <w:rPr>
                <w:rFonts w:ascii="Calibri" w:eastAsia="Times New Roman" w:hAnsi="Calibri"/>
                <w:b/>
                <w:bCs/>
                <w:sz w:val="22"/>
                <w:szCs w:val="22"/>
              </w:rPr>
              <w:t>2,884</w:t>
            </w:r>
          </w:p>
        </w:tc>
      </w:tr>
      <w:tr w:rsidR="005C5446" w:rsidRPr="005C5446" w14:paraId="1616F269" w14:textId="77777777" w:rsidTr="005C5446">
        <w:trPr>
          <w:trHeight w:val="402"/>
          <w:jc w:val="center"/>
        </w:trPr>
        <w:tc>
          <w:tcPr>
            <w:tcW w:w="4725" w:type="dxa"/>
            <w:tcBorders>
              <w:top w:val="nil"/>
              <w:left w:val="double" w:sz="6" w:space="0" w:color="auto"/>
              <w:bottom w:val="single" w:sz="4" w:space="0" w:color="auto"/>
              <w:right w:val="single" w:sz="4" w:space="0" w:color="auto"/>
            </w:tcBorders>
            <w:shd w:val="clear" w:color="000000" w:fill="9BC2E6"/>
            <w:noWrap/>
            <w:vAlign w:val="center"/>
            <w:hideMark/>
          </w:tcPr>
          <w:p w14:paraId="6410E473" w14:textId="77777777" w:rsidR="005C5446" w:rsidRPr="005C5446" w:rsidRDefault="005C5446" w:rsidP="005C5446">
            <w:pPr>
              <w:spacing w:line="240" w:lineRule="auto"/>
              <w:jc w:val="center"/>
              <w:rPr>
                <w:rFonts w:ascii="Calibri" w:eastAsia="Times New Roman" w:hAnsi="Calibri"/>
                <w:sz w:val="22"/>
                <w:szCs w:val="22"/>
              </w:rPr>
            </w:pPr>
            <w:r w:rsidRPr="005C5446">
              <w:rPr>
                <w:rFonts w:ascii="Calibri" w:eastAsia="Times New Roman" w:hAnsi="Calibri"/>
                <w:sz w:val="22"/>
                <w:szCs w:val="22"/>
              </w:rPr>
              <w:t>TSS Sludge Production (</w:t>
            </w:r>
            <w:proofErr w:type="spellStart"/>
            <w:r w:rsidRPr="005C5446">
              <w:rPr>
                <w:rFonts w:ascii="Calibri" w:eastAsia="Times New Roman" w:hAnsi="Calibri"/>
                <w:sz w:val="22"/>
                <w:szCs w:val="22"/>
              </w:rPr>
              <w:t>lb</w:t>
            </w:r>
            <w:proofErr w:type="spellEnd"/>
            <w:r w:rsidRPr="005C5446">
              <w:rPr>
                <w:rFonts w:ascii="Calibri" w:eastAsia="Times New Roman" w:hAnsi="Calibri"/>
                <w:sz w:val="22"/>
                <w:szCs w:val="22"/>
              </w:rPr>
              <w:t>/day)</w:t>
            </w:r>
          </w:p>
        </w:tc>
        <w:tc>
          <w:tcPr>
            <w:tcW w:w="675" w:type="dxa"/>
            <w:tcBorders>
              <w:top w:val="nil"/>
              <w:left w:val="nil"/>
              <w:bottom w:val="single" w:sz="4" w:space="0" w:color="auto"/>
              <w:right w:val="double" w:sz="6" w:space="0" w:color="auto"/>
            </w:tcBorders>
            <w:shd w:val="clear" w:color="000000" w:fill="DDEBF7"/>
            <w:noWrap/>
            <w:vAlign w:val="center"/>
            <w:hideMark/>
          </w:tcPr>
          <w:p w14:paraId="77190663" w14:textId="77777777" w:rsidR="005C5446" w:rsidRPr="005C5446" w:rsidRDefault="005C5446" w:rsidP="005C5446">
            <w:pPr>
              <w:spacing w:line="240" w:lineRule="auto"/>
              <w:jc w:val="center"/>
              <w:rPr>
                <w:rFonts w:ascii="Calibri" w:eastAsia="Times New Roman" w:hAnsi="Calibri"/>
                <w:b/>
                <w:bCs/>
                <w:sz w:val="22"/>
                <w:szCs w:val="22"/>
              </w:rPr>
            </w:pPr>
            <w:r w:rsidRPr="005C5446">
              <w:rPr>
                <w:rFonts w:ascii="Calibri" w:eastAsia="Times New Roman" w:hAnsi="Calibri"/>
                <w:b/>
                <w:bCs/>
                <w:sz w:val="22"/>
                <w:szCs w:val="22"/>
              </w:rPr>
              <w:t>2,500</w:t>
            </w:r>
          </w:p>
        </w:tc>
      </w:tr>
      <w:tr w:rsidR="005C5446" w:rsidRPr="005C5446" w14:paraId="02397C2B" w14:textId="77777777" w:rsidTr="005C5446">
        <w:trPr>
          <w:trHeight w:val="402"/>
          <w:jc w:val="center"/>
        </w:trPr>
        <w:tc>
          <w:tcPr>
            <w:tcW w:w="4725" w:type="dxa"/>
            <w:tcBorders>
              <w:top w:val="nil"/>
              <w:left w:val="double" w:sz="6" w:space="0" w:color="auto"/>
              <w:bottom w:val="single" w:sz="4" w:space="0" w:color="auto"/>
              <w:right w:val="single" w:sz="4" w:space="0" w:color="auto"/>
            </w:tcBorders>
            <w:shd w:val="clear" w:color="000000" w:fill="9BC2E6"/>
            <w:noWrap/>
            <w:vAlign w:val="center"/>
            <w:hideMark/>
          </w:tcPr>
          <w:p w14:paraId="095E7619" w14:textId="77777777" w:rsidR="005C5446" w:rsidRPr="005C5446" w:rsidRDefault="005C5446" w:rsidP="005C5446">
            <w:pPr>
              <w:spacing w:line="240" w:lineRule="auto"/>
              <w:jc w:val="center"/>
              <w:rPr>
                <w:rFonts w:ascii="Calibri" w:eastAsia="Times New Roman" w:hAnsi="Calibri"/>
                <w:sz w:val="22"/>
                <w:szCs w:val="22"/>
              </w:rPr>
            </w:pPr>
            <w:r w:rsidRPr="005C5446">
              <w:rPr>
                <w:rFonts w:ascii="Calibri" w:eastAsia="Times New Roman" w:hAnsi="Calibri"/>
                <w:sz w:val="22"/>
                <w:szCs w:val="22"/>
              </w:rPr>
              <w:t>TSS in activated sludge effluent (</w:t>
            </w:r>
            <w:proofErr w:type="spellStart"/>
            <w:r w:rsidRPr="005C5446">
              <w:rPr>
                <w:rFonts w:ascii="Calibri" w:eastAsia="Times New Roman" w:hAnsi="Calibri"/>
                <w:sz w:val="22"/>
                <w:szCs w:val="22"/>
              </w:rPr>
              <w:t>lb</w:t>
            </w:r>
            <w:proofErr w:type="spellEnd"/>
            <w:r w:rsidRPr="005C5446">
              <w:rPr>
                <w:rFonts w:ascii="Calibri" w:eastAsia="Times New Roman" w:hAnsi="Calibri"/>
                <w:sz w:val="22"/>
                <w:szCs w:val="22"/>
              </w:rPr>
              <w:t>/day)</w:t>
            </w:r>
          </w:p>
        </w:tc>
        <w:tc>
          <w:tcPr>
            <w:tcW w:w="675" w:type="dxa"/>
            <w:tcBorders>
              <w:top w:val="nil"/>
              <w:left w:val="nil"/>
              <w:bottom w:val="single" w:sz="4" w:space="0" w:color="auto"/>
              <w:right w:val="double" w:sz="6" w:space="0" w:color="auto"/>
            </w:tcBorders>
            <w:shd w:val="clear" w:color="000000" w:fill="DDEBF7"/>
            <w:noWrap/>
            <w:vAlign w:val="center"/>
            <w:hideMark/>
          </w:tcPr>
          <w:p w14:paraId="07E5494B" w14:textId="77777777" w:rsidR="005C5446" w:rsidRPr="005C5446" w:rsidRDefault="005C5446" w:rsidP="005C5446">
            <w:pPr>
              <w:spacing w:line="240" w:lineRule="auto"/>
              <w:jc w:val="center"/>
              <w:rPr>
                <w:rFonts w:ascii="Calibri" w:eastAsia="Times New Roman" w:hAnsi="Calibri"/>
                <w:b/>
                <w:bCs/>
                <w:sz w:val="22"/>
                <w:szCs w:val="22"/>
              </w:rPr>
            </w:pPr>
            <w:r w:rsidRPr="005C5446">
              <w:rPr>
                <w:rFonts w:ascii="Calibri" w:eastAsia="Times New Roman" w:hAnsi="Calibri"/>
                <w:b/>
                <w:bCs/>
                <w:sz w:val="22"/>
                <w:szCs w:val="22"/>
              </w:rPr>
              <w:t>118.8</w:t>
            </w:r>
          </w:p>
        </w:tc>
      </w:tr>
      <w:tr w:rsidR="005C5446" w:rsidRPr="005C5446" w14:paraId="146318A8" w14:textId="77777777" w:rsidTr="005C5446">
        <w:trPr>
          <w:trHeight w:val="402"/>
          <w:jc w:val="center"/>
        </w:trPr>
        <w:tc>
          <w:tcPr>
            <w:tcW w:w="4725" w:type="dxa"/>
            <w:tcBorders>
              <w:top w:val="nil"/>
              <w:left w:val="double" w:sz="6" w:space="0" w:color="auto"/>
              <w:bottom w:val="single" w:sz="4" w:space="0" w:color="auto"/>
              <w:right w:val="single" w:sz="4" w:space="0" w:color="auto"/>
            </w:tcBorders>
            <w:shd w:val="clear" w:color="000000" w:fill="9BC2E6"/>
            <w:noWrap/>
            <w:vAlign w:val="center"/>
            <w:hideMark/>
          </w:tcPr>
          <w:p w14:paraId="725D40C1" w14:textId="77777777" w:rsidR="005C5446" w:rsidRPr="005C5446" w:rsidRDefault="005C5446" w:rsidP="005C5446">
            <w:pPr>
              <w:spacing w:line="240" w:lineRule="auto"/>
              <w:jc w:val="center"/>
              <w:rPr>
                <w:rFonts w:ascii="Calibri" w:eastAsia="Times New Roman" w:hAnsi="Calibri"/>
                <w:sz w:val="22"/>
                <w:szCs w:val="22"/>
              </w:rPr>
            </w:pPr>
            <w:r w:rsidRPr="005C5446">
              <w:rPr>
                <w:rFonts w:ascii="Calibri" w:eastAsia="Times New Roman" w:hAnsi="Calibri"/>
                <w:sz w:val="22"/>
                <w:szCs w:val="22"/>
              </w:rPr>
              <w:t>Total Oxygen Requirements (</w:t>
            </w:r>
            <w:proofErr w:type="spellStart"/>
            <w:r w:rsidRPr="005C5446">
              <w:rPr>
                <w:rFonts w:ascii="Calibri" w:eastAsia="Times New Roman" w:hAnsi="Calibri"/>
                <w:sz w:val="22"/>
                <w:szCs w:val="22"/>
              </w:rPr>
              <w:t>lb</w:t>
            </w:r>
            <w:proofErr w:type="spellEnd"/>
            <w:r w:rsidRPr="005C5446">
              <w:rPr>
                <w:rFonts w:ascii="Calibri" w:eastAsia="Times New Roman" w:hAnsi="Calibri"/>
                <w:sz w:val="22"/>
                <w:szCs w:val="22"/>
              </w:rPr>
              <w:t>/day)</w:t>
            </w:r>
          </w:p>
        </w:tc>
        <w:tc>
          <w:tcPr>
            <w:tcW w:w="675" w:type="dxa"/>
            <w:tcBorders>
              <w:top w:val="nil"/>
              <w:left w:val="nil"/>
              <w:bottom w:val="single" w:sz="4" w:space="0" w:color="auto"/>
              <w:right w:val="double" w:sz="6" w:space="0" w:color="auto"/>
            </w:tcBorders>
            <w:shd w:val="clear" w:color="000000" w:fill="DDEBF7"/>
            <w:noWrap/>
            <w:vAlign w:val="center"/>
            <w:hideMark/>
          </w:tcPr>
          <w:p w14:paraId="7E8A22B9" w14:textId="77777777" w:rsidR="005C5446" w:rsidRPr="005C5446" w:rsidRDefault="005C5446" w:rsidP="005C5446">
            <w:pPr>
              <w:spacing w:line="240" w:lineRule="auto"/>
              <w:jc w:val="center"/>
              <w:rPr>
                <w:rFonts w:ascii="Calibri" w:eastAsia="Times New Roman" w:hAnsi="Calibri"/>
                <w:b/>
                <w:bCs/>
                <w:sz w:val="22"/>
                <w:szCs w:val="22"/>
              </w:rPr>
            </w:pPr>
            <w:r w:rsidRPr="005C5446">
              <w:rPr>
                <w:rFonts w:ascii="Calibri" w:eastAsia="Times New Roman" w:hAnsi="Calibri"/>
                <w:b/>
                <w:bCs/>
                <w:sz w:val="22"/>
                <w:szCs w:val="22"/>
              </w:rPr>
              <w:t>5,465</w:t>
            </w:r>
          </w:p>
        </w:tc>
      </w:tr>
      <w:tr w:rsidR="005C5446" w:rsidRPr="005C5446" w14:paraId="63F5FCBC" w14:textId="77777777" w:rsidTr="005C5446">
        <w:trPr>
          <w:trHeight w:val="402"/>
          <w:jc w:val="center"/>
        </w:trPr>
        <w:tc>
          <w:tcPr>
            <w:tcW w:w="4725" w:type="dxa"/>
            <w:tcBorders>
              <w:top w:val="nil"/>
              <w:left w:val="double" w:sz="6" w:space="0" w:color="auto"/>
              <w:bottom w:val="single" w:sz="4" w:space="0" w:color="auto"/>
              <w:right w:val="single" w:sz="4" w:space="0" w:color="auto"/>
            </w:tcBorders>
            <w:shd w:val="clear" w:color="000000" w:fill="9BC2E6"/>
            <w:noWrap/>
            <w:vAlign w:val="center"/>
            <w:hideMark/>
          </w:tcPr>
          <w:p w14:paraId="38B5ABD7" w14:textId="77777777" w:rsidR="005C5446" w:rsidRPr="005C5446" w:rsidRDefault="005C5446" w:rsidP="005C5446">
            <w:pPr>
              <w:spacing w:line="240" w:lineRule="auto"/>
              <w:jc w:val="center"/>
              <w:rPr>
                <w:rFonts w:ascii="Calibri" w:eastAsia="Times New Roman" w:hAnsi="Calibri"/>
                <w:sz w:val="22"/>
                <w:szCs w:val="22"/>
              </w:rPr>
            </w:pPr>
            <w:r w:rsidRPr="005C5446">
              <w:rPr>
                <w:rFonts w:ascii="Calibri" w:eastAsia="Times New Roman" w:hAnsi="Calibri"/>
                <w:sz w:val="22"/>
                <w:szCs w:val="22"/>
              </w:rPr>
              <w:t xml:space="preserve">Total Oxygen </w:t>
            </w:r>
            <w:proofErr w:type="spellStart"/>
            <w:r w:rsidRPr="005C5446">
              <w:rPr>
                <w:rFonts w:ascii="Calibri" w:eastAsia="Times New Roman" w:hAnsi="Calibri"/>
                <w:sz w:val="22"/>
                <w:szCs w:val="22"/>
              </w:rPr>
              <w:t>Req'd</w:t>
            </w:r>
            <w:proofErr w:type="spellEnd"/>
            <w:r w:rsidRPr="005C5446">
              <w:rPr>
                <w:rFonts w:ascii="Calibri" w:eastAsia="Times New Roman" w:hAnsi="Calibri"/>
                <w:sz w:val="22"/>
                <w:szCs w:val="22"/>
              </w:rPr>
              <w:t xml:space="preserve"> W/</w:t>
            </w:r>
            <w:proofErr w:type="spellStart"/>
            <w:r w:rsidRPr="005C5446">
              <w:rPr>
                <w:rFonts w:ascii="Calibri" w:eastAsia="Times New Roman" w:hAnsi="Calibri"/>
                <w:sz w:val="22"/>
                <w:szCs w:val="22"/>
              </w:rPr>
              <w:t>Denit</w:t>
            </w:r>
            <w:proofErr w:type="spellEnd"/>
            <w:r w:rsidRPr="005C5446">
              <w:rPr>
                <w:rFonts w:ascii="Calibri" w:eastAsia="Times New Roman" w:hAnsi="Calibri"/>
                <w:sz w:val="22"/>
                <w:szCs w:val="22"/>
              </w:rPr>
              <w:t>. (</w:t>
            </w:r>
            <w:proofErr w:type="spellStart"/>
            <w:r w:rsidRPr="005C5446">
              <w:rPr>
                <w:rFonts w:ascii="Calibri" w:eastAsia="Times New Roman" w:hAnsi="Calibri"/>
                <w:sz w:val="22"/>
                <w:szCs w:val="22"/>
              </w:rPr>
              <w:t>lb</w:t>
            </w:r>
            <w:proofErr w:type="spellEnd"/>
            <w:r w:rsidRPr="005C5446">
              <w:rPr>
                <w:rFonts w:ascii="Calibri" w:eastAsia="Times New Roman" w:hAnsi="Calibri"/>
                <w:sz w:val="22"/>
                <w:szCs w:val="22"/>
              </w:rPr>
              <w:t>/day)</w:t>
            </w:r>
          </w:p>
        </w:tc>
        <w:tc>
          <w:tcPr>
            <w:tcW w:w="675" w:type="dxa"/>
            <w:tcBorders>
              <w:top w:val="nil"/>
              <w:left w:val="nil"/>
              <w:bottom w:val="single" w:sz="4" w:space="0" w:color="auto"/>
              <w:right w:val="double" w:sz="6" w:space="0" w:color="auto"/>
            </w:tcBorders>
            <w:shd w:val="clear" w:color="000000" w:fill="DDEBF7"/>
            <w:noWrap/>
            <w:vAlign w:val="center"/>
            <w:hideMark/>
          </w:tcPr>
          <w:p w14:paraId="2C8E2389" w14:textId="77777777" w:rsidR="005C5446" w:rsidRPr="005C5446" w:rsidRDefault="005C5446" w:rsidP="005C5446">
            <w:pPr>
              <w:spacing w:line="240" w:lineRule="auto"/>
              <w:jc w:val="center"/>
              <w:rPr>
                <w:rFonts w:ascii="Calibri" w:eastAsia="Times New Roman" w:hAnsi="Calibri"/>
                <w:b/>
                <w:bCs/>
                <w:sz w:val="22"/>
                <w:szCs w:val="22"/>
              </w:rPr>
            </w:pPr>
            <w:r w:rsidRPr="005C5446">
              <w:rPr>
                <w:rFonts w:ascii="Calibri" w:eastAsia="Times New Roman" w:hAnsi="Calibri"/>
                <w:b/>
                <w:bCs/>
                <w:sz w:val="22"/>
                <w:szCs w:val="22"/>
              </w:rPr>
              <w:t>4,717</w:t>
            </w:r>
          </w:p>
        </w:tc>
      </w:tr>
      <w:tr w:rsidR="005C5446" w:rsidRPr="005C5446" w14:paraId="5AE50B4B" w14:textId="77777777" w:rsidTr="005C5446">
        <w:trPr>
          <w:trHeight w:val="402"/>
          <w:jc w:val="center"/>
        </w:trPr>
        <w:tc>
          <w:tcPr>
            <w:tcW w:w="4725" w:type="dxa"/>
            <w:tcBorders>
              <w:top w:val="nil"/>
              <w:left w:val="double" w:sz="6" w:space="0" w:color="auto"/>
              <w:bottom w:val="single" w:sz="4" w:space="0" w:color="auto"/>
              <w:right w:val="single" w:sz="4" w:space="0" w:color="auto"/>
            </w:tcBorders>
            <w:shd w:val="clear" w:color="000000" w:fill="9BC2E6"/>
            <w:noWrap/>
            <w:vAlign w:val="center"/>
            <w:hideMark/>
          </w:tcPr>
          <w:p w14:paraId="6EED9A73" w14:textId="77777777" w:rsidR="005C5446" w:rsidRPr="005C5446" w:rsidRDefault="005C5446" w:rsidP="005C5446">
            <w:pPr>
              <w:spacing w:line="240" w:lineRule="auto"/>
              <w:jc w:val="center"/>
              <w:rPr>
                <w:rFonts w:ascii="Calibri" w:eastAsia="Times New Roman" w:hAnsi="Calibri"/>
                <w:sz w:val="22"/>
                <w:szCs w:val="22"/>
              </w:rPr>
            </w:pPr>
            <w:r w:rsidRPr="005C5446">
              <w:rPr>
                <w:rFonts w:ascii="Calibri" w:eastAsia="Times New Roman" w:hAnsi="Calibri"/>
                <w:sz w:val="22"/>
                <w:szCs w:val="22"/>
              </w:rPr>
              <w:t>Total oxygen supplied (</w:t>
            </w:r>
            <w:proofErr w:type="spellStart"/>
            <w:r w:rsidRPr="005C5446">
              <w:rPr>
                <w:rFonts w:ascii="Calibri" w:eastAsia="Times New Roman" w:hAnsi="Calibri"/>
                <w:sz w:val="22"/>
                <w:szCs w:val="22"/>
              </w:rPr>
              <w:t>lb</w:t>
            </w:r>
            <w:proofErr w:type="spellEnd"/>
            <w:r w:rsidRPr="005C5446">
              <w:rPr>
                <w:rFonts w:ascii="Calibri" w:eastAsia="Times New Roman" w:hAnsi="Calibri"/>
                <w:sz w:val="22"/>
                <w:szCs w:val="22"/>
              </w:rPr>
              <w:t>/day)</w:t>
            </w:r>
          </w:p>
        </w:tc>
        <w:tc>
          <w:tcPr>
            <w:tcW w:w="675" w:type="dxa"/>
            <w:tcBorders>
              <w:top w:val="nil"/>
              <w:left w:val="nil"/>
              <w:bottom w:val="single" w:sz="4" w:space="0" w:color="auto"/>
              <w:right w:val="double" w:sz="6" w:space="0" w:color="auto"/>
            </w:tcBorders>
            <w:shd w:val="clear" w:color="000000" w:fill="DDEBF7"/>
            <w:noWrap/>
            <w:vAlign w:val="center"/>
            <w:hideMark/>
          </w:tcPr>
          <w:p w14:paraId="2C4B2C08" w14:textId="77777777" w:rsidR="005C5446" w:rsidRPr="005C5446" w:rsidRDefault="005C5446" w:rsidP="005C5446">
            <w:pPr>
              <w:spacing w:line="240" w:lineRule="auto"/>
              <w:jc w:val="center"/>
              <w:rPr>
                <w:rFonts w:ascii="Calibri" w:eastAsia="Times New Roman" w:hAnsi="Calibri"/>
                <w:b/>
                <w:bCs/>
                <w:sz w:val="22"/>
                <w:szCs w:val="22"/>
              </w:rPr>
            </w:pPr>
            <w:r w:rsidRPr="005C5446">
              <w:rPr>
                <w:rFonts w:ascii="Calibri" w:eastAsia="Times New Roman" w:hAnsi="Calibri"/>
                <w:b/>
                <w:bCs/>
                <w:sz w:val="22"/>
                <w:szCs w:val="22"/>
              </w:rPr>
              <w:t>5,789</w:t>
            </w:r>
          </w:p>
        </w:tc>
      </w:tr>
      <w:tr w:rsidR="005C5446" w:rsidRPr="005C5446" w14:paraId="250B463A" w14:textId="77777777" w:rsidTr="005C5446">
        <w:trPr>
          <w:trHeight w:val="402"/>
          <w:jc w:val="center"/>
        </w:trPr>
        <w:tc>
          <w:tcPr>
            <w:tcW w:w="4725" w:type="dxa"/>
            <w:tcBorders>
              <w:top w:val="nil"/>
              <w:left w:val="double" w:sz="6" w:space="0" w:color="auto"/>
              <w:bottom w:val="single" w:sz="4" w:space="0" w:color="auto"/>
              <w:right w:val="single" w:sz="4" w:space="0" w:color="auto"/>
            </w:tcBorders>
            <w:shd w:val="clear" w:color="000000" w:fill="9BC2E6"/>
            <w:noWrap/>
            <w:vAlign w:val="center"/>
            <w:hideMark/>
          </w:tcPr>
          <w:p w14:paraId="1FEF14AA" w14:textId="77777777" w:rsidR="005C5446" w:rsidRPr="005C5446" w:rsidRDefault="000E6E4B" w:rsidP="005C5446">
            <w:pPr>
              <w:spacing w:line="240" w:lineRule="auto"/>
              <w:jc w:val="center"/>
              <w:rPr>
                <w:rFonts w:ascii="Calibri" w:eastAsia="Times New Roman" w:hAnsi="Calibri"/>
                <w:sz w:val="22"/>
                <w:szCs w:val="22"/>
              </w:rPr>
            </w:pPr>
            <w:r>
              <w:rPr>
                <w:rFonts w:ascii="Calibri" w:eastAsia="Times New Roman" w:hAnsi="Calibri"/>
                <w:sz w:val="22"/>
                <w:szCs w:val="22"/>
              </w:rPr>
              <w:t>Mixing intensity in the reactors</w:t>
            </w:r>
            <w:r w:rsidR="005C5446" w:rsidRPr="005C5446">
              <w:rPr>
                <w:rFonts w:ascii="Calibri" w:eastAsia="Times New Roman" w:hAnsi="Calibri"/>
                <w:sz w:val="22"/>
                <w:szCs w:val="22"/>
              </w:rPr>
              <w:t xml:space="preserve"> (</w:t>
            </w:r>
            <w:proofErr w:type="spellStart"/>
            <w:r w:rsidR="005C5446" w:rsidRPr="005C5446">
              <w:rPr>
                <w:rFonts w:ascii="Calibri" w:eastAsia="Times New Roman" w:hAnsi="Calibri"/>
                <w:sz w:val="22"/>
                <w:szCs w:val="22"/>
              </w:rPr>
              <w:t>hp</w:t>
            </w:r>
            <w:proofErr w:type="spellEnd"/>
            <w:r w:rsidR="005C5446" w:rsidRPr="005C5446">
              <w:rPr>
                <w:rFonts w:ascii="Calibri" w:eastAsia="Times New Roman" w:hAnsi="Calibri"/>
                <w:sz w:val="22"/>
                <w:szCs w:val="22"/>
              </w:rPr>
              <w:t>/mil gal)</w:t>
            </w:r>
          </w:p>
        </w:tc>
        <w:tc>
          <w:tcPr>
            <w:tcW w:w="675" w:type="dxa"/>
            <w:tcBorders>
              <w:top w:val="nil"/>
              <w:left w:val="nil"/>
              <w:bottom w:val="single" w:sz="4" w:space="0" w:color="auto"/>
              <w:right w:val="double" w:sz="6" w:space="0" w:color="auto"/>
            </w:tcBorders>
            <w:shd w:val="clear" w:color="000000" w:fill="DDEBF7"/>
            <w:noWrap/>
            <w:vAlign w:val="center"/>
            <w:hideMark/>
          </w:tcPr>
          <w:p w14:paraId="31F87E1F" w14:textId="77777777" w:rsidR="005C5446" w:rsidRPr="005C5446" w:rsidRDefault="005C5446" w:rsidP="005C5446">
            <w:pPr>
              <w:spacing w:line="240" w:lineRule="auto"/>
              <w:jc w:val="center"/>
              <w:rPr>
                <w:rFonts w:ascii="Calibri" w:eastAsia="Times New Roman" w:hAnsi="Calibri"/>
                <w:b/>
                <w:bCs/>
                <w:sz w:val="22"/>
                <w:szCs w:val="22"/>
              </w:rPr>
            </w:pPr>
            <w:r w:rsidRPr="005C5446">
              <w:rPr>
                <w:rFonts w:ascii="Calibri" w:eastAsia="Times New Roman" w:hAnsi="Calibri"/>
                <w:b/>
                <w:bCs/>
                <w:sz w:val="22"/>
                <w:szCs w:val="22"/>
              </w:rPr>
              <w:t>182</w:t>
            </w:r>
          </w:p>
        </w:tc>
      </w:tr>
      <w:tr w:rsidR="005C5446" w:rsidRPr="005C5446" w14:paraId="3B489826" w14:textId="77777777" w:rsidTr="005C5446">
        <w:trPr>
          <w:trHeight w:val="402"/>
          <w:jc w:val="center"/>
        </w:trPr>
        <w:tc>
          <w:tcPr>
            <w:tcW w:w="4725" w:type="dxa"/>
            <w:tcBorders>
              <w:top w:val="nil"/>
              <w:left w:val="double" w:sz="6" w:space="0" w:color="auto"/>
              <w:bottom w:val="single" w:sz="4" w:space="0" w:color="auto"/>
              <w:right w:val="single" w:sz="4" w:space="0" w:color="auto"/>
            </w:tcBorders>
            <w:shd w:val="clear" w:color="000000" w:fill="9BC2E6"/>
            <w:noWrap/>
            <w:vAlign w:val="center"/>
            <w:hideMark/>
          </w:tcPr>
          <w:p w14:paraId="3C91E62E" w14:textId="77777777" w:rsidR="005C5446" w:rsidRPr="005C5446" w:rsidRDefault="005C5446" w:rsidP="005C5446">
            <w:pPr>
              <w:spacing w:line="240" w:lineRule="auto"/>
              <w:jc w:val="center"/>
              <w:rPr>
                <w:rFonts w:ascii="Calibri" w:eastAsia="Times New Roman" w:hAnsi="Calibri"/>
                <w:sz w:val="22"/>
                <w:szCs w:val="22"/>
              </w:rPr>
            </w:pPr>
            <w:r w:rsidRPr="005C5446">
              <w:rPr>
                <w:rFonts w:ascii="Calibri" w:eastAsia="Times New Roman" w:hAnsi="Calibri"/>
                <w:sz w:val="22"/>
                <w:szCs w:val="22"/>
              </w:rPr>
              <w:t>RAS flow rate (</w:t>
            </w:r>
            <w:proofErr w:type="spellStart"/>
            <w:r w:rsidRPr="005C5446">
              <w:rPr>
                <w:rFonts w:ascii="Calibri" w:eastAsia="Times New Roman" w:hAnsi="Calibri"/>
                <w:sz w:val="22"/>
                <w:szCs w:val="22"/>
              </w:rPr>
              <w:t>mgd</w:t>
            </w:r>
            <w:proofErr w:type="spellEnd"/>
            <w:r w:rsidRPr="005C5446">
              <w:rPr>
                <w:rFonts w:ascii="Calibri" w:eastAsia="Times New Roman" w:hAnsi="Calibri"/>
                <w:sz w:val="22"/>
                <w:szCs w:val="22"/>
              </w:rPr>
              <w:t>)</w:t>
            </w:r>
          </w:p>
        </w:tc>
        <w:tc>
          <w:tcPr>
            <w:tcW w:w="675" w:type="dxa"/>
            <w:tcBorders>
              <w:top w:val="nil"/>
              <w:left w:val="nil"/>
              <w:bottom w:val="single" w:sz="4" w:space="0" w:color="auto"/>
              <w:right w:val="double" w:sz="6" w:space="0" w:color="auto"/>
            </w:tcBorders>
            <w:shd w:val="clear" w:color="000000" w:fill="DDEBF7"/>
            <w:noWrap/>
            <w:vAlign w:val="center"/>
            <w:hideMark/>
          </w:tcPr>
          <w:p w14:paraId="443834A6" w14:textId="77777777" w:rsidR="005C5446" w:rsidRPr="005C5446" w:rsidRDefault="005C5446" w:rsidP="005C5446">
            <w:pPr>
              <w:spacing w:line="240" w:lineRule="auto"/>
              <w:jc w:val="center"/>
              <w:rPr>
                <w:rFonts w:ascii="Calibri" w:eastAsia="Times New Roman" w:hAnsi="Calibri"/>
                <w:b/>
                <w:bCs/>
                <w:sz w:val="22"/>
                <w:szCs w:val="22"/>
              </w:rPr>
            </w:pPr>
            <w:r w:rsidRPr="005C5446">
              <w:rPr>
                <w:rFonts w:ascii="Calibri" w:eastAsia="Times New Roman" w:hAnsi="Calibri"/>
                <w:b/>
                <w:bCs/>
                <w:sz w:val="22"/>
                <w:szCs w:val="22"/>
              </w:rPr>
              <w:t>2.01</w:t>
            </w:r>
          </w:p>
        </w:tc>
      </w:tr>
      <w:tr w:rsidR="005C5446" w:rsidRPr="005C5446" w14:paraId="46CB2A2D" w14:textId="77777777" w:rsidTr="005C5446">
        <w:trPr>
          <w:trHeight w:val="402"/>
          <w:jc w:val="center"/>
        </w:trPr>
        <w:tc>
          <w:tcPr>
            <w:tcW w:w="4725" w:type="dxa"/>
            <w:tcBorders>
              <w:top w:val="nil"/>
              <w:left w:val="double" w:sz="6" w:space="0" w:color="auto"/>
              <w:bottom w:val="single" w:sz="4" w:space="0" w:color="auto"/>
              <w:right w:val="single" w:sz="4" w:space="0" w:color="auto"/>
            </w:tcBorders>
            <w:shd w:val="clear" w:color="000000" w:fill="9BC2E6"/>
            <w:noWrap/>
            <w:vAlign w:val="center"/>
            <w:hideMark/>
          </w:tcPr>
          <w:p w14:paraId="6B01CD75" w14:textId="77777777" w:rsidR="005C5446" w:rsidRPr="005C5446" w:rsidRDefault="005C5446" w:rsidP="005C5446">
            <w:pPr>
              <w:spacing w:line="240" w:lineRule="auto"/>
              <w:jc w:val="center"/>
              <w:rPr>
                <w:rFonts w:ascii="Calibri" w:eastAsia="Times New Roman" w:hAnsi="Calibri"/>
                <w:sz w:val="22"/>
                <w:szCs w:val="22"/>
              </w:rPr>
            </w:pPr>
            <w:r w:rsidRPr="005C5446">
              <w:rPr>
                <w:rFonts w:ascii="Calibri" w:eastAsia="Times New Roman" w:hAnsi="Calibri"/>
                <w:sz w:val="22"/>
                <w:szCs w:val="22"/>
              </w:rPr>
              <w:t>RAS recycle percentage (%)</w:t>
            </w:r>
          </w:p>
        </w:tc>
        <w:tc>
          <w:tcPr>
            <w:tcW w:w="675" w:type="dxa"/>
            <w:tcBorders>
              <w:top w:val="nil"/>
              <w:left w:val="nil"/>
              <w:bottom w:val="single" w:sz="4" w:space="0" w:color="auto"/>
              <w:right w:val="double" w:sz="6" w:space="0" w:color="auto"/>
            </w:tcBorders>
            <w:shd w:val="clear" w:color="000000" w:fill="DDEBF7"/>
            <w:noWrap/>
            <w:vAlign w:val="center"/>
            <w:hideMark/>
          </w:tcPr>
          <w:p w14:paraId="3F33F1AC" w14:textId="77777777" w:rsidR="005C5446" w:rsidRPr="005C5446" w:rsidRDefault="005C5446" w:rsidP="005C5446">
            <w:pPr>
              <w:spacing w:line="240" w:lineRule="auto"/>
              <w:jc w:val="center"/>
              <w:rPr>
                <w:rFonts w:ascii="Calibri" w:eastAsia="Times New Roman" w:hAnsi="Calibri"/>
                <w:b/>
                <w:bCs/>
                <w:sz w:val="22"/>
                <w:szCs w:val="22"/>
              </w:rPr>
            </w:pPr>
            <w:r w:rsidRPr="005C5446">
              <w:rPr>
                <w:rFonts w:ascii="Calibri" w:eastAsia="Times New Roman" w:hAnsi="Calibri"/>
                <w:b/>
                <w:bCs/>
                <w:sz w:val="22"/>
                <w:szCs w:val="22"/>
              </w:rPr>
              <w:t>70.5</w:t>
            </w:r>
          </w:p>
        </w:tc>
      </w:tr>
      <w:tr w:rsidR="005C5446" w:rsidRPr="005C5446" w14:paraId="2871CDC8" w14:textId="77777777" w:rsidTr="005C5446">
        <w:trPr>
          <w:trHeight w:val="402"/>
          <w:jc w:val="center"/>
        </w:trPr>
        <w:tc>
          <w:tcPr>
            <w:tcW w:w="4725" w:type="dxa"/>
            <w:tcBorders>
              <w:top w:val="nil"/>
              <w:left w:val="double" w:sz="6" w:space="0" w:color="auto"/>
              <w:bottom w:val="single" w:sz="4" w:space="0" w:color="auto"/>
              <w:right w:val="single" w:sz="4" w:space="0" w:color="auto"/>
            </w:tcBorders>
            <w:shd w:val="clear" w:color="000000" w:fill="9BC2E6"/>
            <w:noWrap/>
            <w:vAlign w:val="center"/>
            <w:hideMark/>
          </w:tcPr>
          <w:p w14:paraId="7B1DE041" w14:textId="77777777" w:rsidR="005C5446" w:rsidRPr="005C5446" w:rsidRDefault="005C5446" w:rsidP="005C5446">
            <w:pPr>
              <w:spacing w:line="240" w:lineRule="auto"/>
              <w:jc w:val="center"/>
              <w:rPr>
                <w:rFonts w:ascii="Calibri" w:eastAsia="Times New Roman" w:hAnsi="Calibri"/>
                <w:sz w:val="22"/>
                <w:szCs w:val="22"/>
              </w:rPr>
            </w:pPr>
            <w:r w:rsidRPr="005C5446">
              <w:rPr>
                <w:rFonts w:ascii="Calibri" w:eastAsia="Times New Roman" w:hAnsi="Calibri"/>
                <w:sz w:val="22"/>
                <w:szCs w:val="22"/>
              </w:rPr>
              <w:t>WAS flow rate (</w:t>
            </w:r>
            <w:proofErr w:type="spellStart"/>
            <w:r w:rsidRPr="005C5446">
              <w:rPr>
                <w:rFonts w:ascii="Calibri" w:eastAsia="Times New Roman" w:hAnsi="Calibri"/>
                <w:sz w:val="22"/>
                <w:szCs w:val="22"/>
              </w:rPr>
              <w:t>mgd</w:t>
            </w:r>
            <w:proofErr w:type="spellEnd"/>
            <w:r w:rsidRPr="005C5446">
              <w:rPr>
                <w:rFonts w:ascii="Calibri" w:eastAsia="Times New Roman" w:hAnsi="Calibri"/>
                <w:sz w:val="22"/>
                <w:szCs w:val="22"/>
              </w:rPr>
              <w:t>)</w:t>
            </w:r>
          </w:p>
        </w:tc>
        <w:tc>
          <w:tcPr>
            <w:tcW w:w="675" w:type="dxa"/>
            <w:tcBorders>
              <w:top w:val="nil"/>
              <w:left w:val="nil"/>
              <w:bottom w:val="single" w:sz="4" w:space="0" w:color="auto"/>
              <w:right w:val="double" w:sz="6" w:space="0" w:color="auto"/>
            </w:tcBorders>
            <w:shd w:val="clear" w:color="000000" w:fill="DDEBF7"/>
            <w:noWrap/>
            <w:vAlign w:val="center"/>
            <w:hideMark/>
          </w:tcPr>
          <w:p w14:paraId="44310AA2" w14:textId="77777777" w:rsidR="005C5446" w:rsidRPr="005C5446" w:rsidRDefault="005C5446" w:rsidP="005C5446">
            <w:pPr>
              <w:spacing w:line="240" w:lineRule="auto"/>
              <w:jc w:val="center"/>
              <w:rPr>
                <w:rFonts w:ascii="Calibri" w:eastAsia="Times New Roman" w:hAnsi="Calibri"/>
                <w:b/>
                <w:bCs/>
                <w:sz w:val="22"/>
                <w:szCs w:val="22"/>
              </w:rPr>
            </w:pPr>
            <w:r w:rsidRPr="005C5446">
              <w:rPr>
                <w:rFonts w:ascii="Calibri" w:eastAsia="Times New Roman" w:hAnsi="Calibri"/>
                <w:b/>
                <w:bCs/>
                <w:sz w:val="22"/>
                <w:szCs w:val="22"/>
              </w:rPr>
              <w:t>0.032</w:t>
            </w:r>
          </w:p>
        </w:tc>
      </w:tr>
      <w:tr w:rsidR="005C5446" w:rsidRPr="005C5446" w14:paraId="2C81AF11" w14:textId="77777777" w:rsidTr="005C5446">
        <w:trPr>
          <w:trHeight w:val="402"/>
          <w:jc w:val="center"/>
        </w:trPr>
        <w:tc>
          <w:tcPr>
            <w:tcW w:w="4725" w:type="dxa"/>
            <w:tcBorders>
              <w:top w:val="nil"/>
              <w:left w:val="double" w:sz="6" w:space="0" w:color="auto"/>
              <w:bottom w:val="single" w:sz="4" w:space="0" w:color="auto"/>
              <w:right w:val="single" w:sz="4" w:space="0" w:color="auto"/>
            </w:tcBorders>
            <w:shd w:val="clear" w:color="000000" w:fill="9BC2E6"/>
            <w:noWrap/>
            <w:vAlign w:val="center"/>
            <w:hideMark/>
          </w:tcPr>
          <w:p w14:paraId="30F03ED5" w14:textId="77777777" w:rsidR="005C5446" w:rsidRPr="005C5446" w:rsidRDefault="005C5446" w:rsidP="005C5446">
            <w:pPr>
              <w:spacing w:line="240" w:lineRule="auto"/>
              <w:jc w:val="center"/>
              <w:rPr>
                <w:rFonts w:ascii="Calibri" w:eastAsia="Times New Roman" w:hAnsi="Calibri"/>
                <w:sz w:val="22"/>
                <w:szCs w:val="22"/>
              </w:rPr>
            </w:pPr>
            <w:r w:rsidRPr="005C5446">
              <w:rPr>
                <w:rFonts w:ascii="Calibri" w:eastAsia="Times New Roman" w:hAnsi="Calibri"/>
                <w:sz w:val="22"/>
                <w:szCs w:val="22"/>
              </w:rPr>
              <w:t>RAS TSS concentration (mg/L)</w:t>
            </w:r>
          </w:p>
        </w:tc>
        <w:tc>
          <w:tcPr>
            <w:tcW w:w="675" w:type="dxa"/>
            <w:tcBorders>
              <w:top w:val="nil"/>
              <w:left w:val="nil"/>
              <w:bottom w:val="single" w:sz="4" w:space="0" w:color="auto"/>
              <w:right w:val="double" w:sz="6" w:space="0" w:color="auto"/>
            </w:tcBorders>
            <w:shd w:val="clear" w:color="000000" w:fill="DDEBF7"/>
            <w:noWrap/>
            <w:vAlign w:val="center"/>
            <w:hideMark/>
          </w:tcPr>
          <w:p w14:paraId="0BA74EAB" w14:textId="77777777" w:rsidR="005C5446" w:rsidRPr="005C5446" w:rsidRDefault="005C5446" w:rsidP="005C5446">
            <w:pPr>
              <w:spacing w:line="240" w:lineRule="auto"/>
              <w:jc w:val="center"/>
              <w:rPr>
                <w:rFonts w:ascii="Calibri" w:eastAsia="Times New Roman" w:hAnsi="Calibri"/>
                <w:b/>
                <w:bCs/>
                <w:sz w:val="22"/>
                <w:szCs w:val="22"/>
              </w:rPr>
            </w:pPr>
            <w:r w:rsidRPr="005C5446">
              <w:rPr>
                <w:rFonts w:ascii="Calibri" w:eastAsia="Times New Roman" w:hAnsi="Calibri"/>
                <w:b/>
                <w:bCs/>
                <w:sz w:val="22"/>
                <w:szCs w:val="22"/>
              </w:rPr>
              <w:t>9,300</w:t>
            </w:r>
          </w:p>
        </w:tc>
      </w:tr>
      <w:tr w:rsidR="005C5446" w:rsidRPr="005C5446" w14:paraId="6712F263" w14:textId="77777777" w:rsidTr="005C5446">
        <w:trPr>
          <w:trHeight w:val="402"/>
          <w:jc w:val="center"/>
        </w:trPr>
        <w:tc>
          <w:tcPr>
            <w:tcW w:w="4725" w:type="dxa"/>
            <w:tcBorders>
              <w:top w:val="nil"/>
              <w:left w:val="double" w:sz="6" w:space="0" w:color="auto"/>
              <w:bottom w:val="single" w:sz="4" w:space="0" w:color="auto"/>
              <w:right w:val="single" w:sz="4" w:space="0" w:color="auto"/>
            </w:tcBorders>
            <w:shd w:val="clear" w:color="000000" w:fill="9BC2E6"/>
            <w:noWrap/>
            <w:vAlign w:val="center"/>
            <w:hideMark/>
          </w:tcPr>
          <w:p w14:paraId="0625FAD1" w14:textId="77777777" w:rsidR="005C5446" w:rsidRPr="005C5446" w:rsidRDefault="005C5446" w:rsidP="005C5446">
            <w:pPr>
              <w:spacing w:line="240" w:lineRule="auto"/>
              <w:jc w:val="center"/>
              <w:rPr>
                <w:rFonts w:ascii="Calibri" w:eastAsia="Times New Roman" w:hAnsi="Calibri"/>
                <w:sz w:val="22"/>
                <w:szCs w:val="22"/>
              </w:rPr>
            </w:pPr>
            <w:r w:rsidRPr="005C5446">
              <w:rPr>
                <w:rFonts w:ascii="Calibri" w:eastAsia="Times New Roman" w:hAnsi="Calibri"/>
                <w:sz w:val="22"/>
                <w:szCs w:val="22"/>
              </w:rPr>
              <w:t>Total sludge production (</w:t>
            </w:r>
            <w:proofErr w:type="spellStart"/>
            <w:r w:rsidRPr="005C5446">
              <w:rPr>
                <w:rFonts w:ascii="Calibri" w:eastAsia="Times New Roman" w:hAnsi="Calibri"/>
                <w:sz w:val="22"/>
                <w:szCs w:val="22"/>
              </w:rPr>
              <w:t>lb</w:t>
            </w:r>
            <w:proofErr w:type="spellEnd"/>
            <w:r w:rsidRPr="005C5446">
              <w:rPr>
                <w:rFonts w:ascii="Calibri" w:eastAsia="Times New Roman" w:hAnsi="Calibri"/>
                <w:sz w:val="22"/>
                <w:szCs w:val="22"/>
              </w:rPr>
              <w:t>/day)</w:t>
            </w:r>
          </w:p>
        </w:tc>
        <w:tc>
          <w:tcPr>
            <w:tcW w:w="675" w:type="dxa"/>
            <w:tcBorders>
              <w:top w:val="nil"/>
              <w:left w:val="nil"/>
              <w:bottom w:val="single" w:sz="4" w:space="0" w:color="auto"/>
              <w:right w:val="double" w:sz="6" w:space="0" w:color="auto"/>
            </w:tcBorders>
            <w:shd w:val="clear" w:color="000000" w:fill="DDEBF7"/>
            <w:noWrap/>
            <w:vAlign w:val="center"/>
            <w:hideMark/>
          </w:tcPr>
          <w:p w14:paraId="7A13DD05" w14:textId="77777777" w:rsidR="005C5446" w:rsidRPr="005C5446" w:rsidRDefault="005C5446" w:rsidP="005C5446">
            <w:pPr>
              <w:spacing w:line="240" w:lineRule="auto"/>
              <w:jc w:val="center"/>
              <w:rPr>
                <w:rFonts w:ascii="Calibri" w:eastAsia="Times New Roman" w:hAnsi="Calibri"/>
                <w:b/>
                <w:bCs/>
                <w:sz w:val="22"/>
                <w:szCs w:val="22"/>
              </w:rPr>
            </w:pPr>
            <w:r w:rsidRPr="005C5446">
              <w:rPr>
                <w:rFonts w:ascii="Calibri" w:eastAsia="Times New Roman" w:hAnsi="Calibri"/>
                <w:b/>
                <w:bCs/>
                <w:sz w:val="22"/>
                <w:szCs w:val="22"/>
              </w:rPr>
              <w:t>2,619</w:t>
            </w:r>
          </w:p>
        </w:tc>
      </w:tr>
      <w:tr w:rsidR="005C5446" w:rsidRPr="005C5446" w14:paraId="6DF71D5A" w14:textId="77777777" w:rsidTr="005C5446">
        <w:trPr>
          <w:trHeight w:val="402"/>
          <w:jc w:val="center"/>
        </w:trPr>
        <w:tc>
          <w:tcPr>
            <w:tcW w:w="4725" w:type="dxa"/>
            <w:tcBorders>
              <w:top w:val="nil"/>
              <w:left w:val="double" w:sz="6" w:space="0" w:color="auto"/>
              <w:bottom w:val="single" w:sz="4" w:space="0" w:color="auto"/>
              <w:right w:val="single" w:sz="4" w:space="0" w:color="auto"/>
            </w:tcBorders>
            <w:shd w:val="clear" w:color="000000" w:fill="9BC2E6"/>
            <w:noWrap/>
            <w:vAlign w:val="center"/>
            <w:hideMark/>
          </w:tcPr>
          <w:p w14:paraId="5CE9BD9E" w14:textId="77777777" w:rsidR="005C5446" w:rsidRPr="005C5446" w:rsidRDefault="005C5446" w:rsidP="005C5446">
            <w:pPr>
              <w:spacing w:line="240" w:lineRule="auto"/>
              <w:jc w:val="center"/>
              <w:rPr>
                <w:rFonts w:ascii="Calibri" w:eastAsia="Times New Roman" w:hAnsi="Calibri"/>
                <w:sz w:val="22"/>
                <w:szCs w:val="22"/>
              </w:rPr>
            </w:pPr>
            <w:r w:rsidRPr="005C5446">
              <w:rPr>
                <w:rFonts w:ascii="Calibri" w:eastAsia="Times New Roman" w:hAnsi="Calibri"/>
                <w:sz w:val="22"/>
                <w:szCs w:val="22"/>
              </w:rPr>
              <w:t>Reactor Detention Time (</w:t>
            </w:r>
            <w:proofErr w:type="spellStart"/>
            <w:r w:rsidRPr="005C5446">
              <w:rPr>
                <w:rFonts w:ascii="Calibri" w:eastAsia="Times New Roman" w:hAnsi="Calibri"/>
                <w:sz w:val="22"/>
                <w:szCs w:val="22"/>
              </w:rPr>
              <w:t>hr</w:t>
            </w:r>
            <w:proofErr w:type="spellEnd"/>
            <w:r w:rsidRPr="005C5446">
              <w:rPr>
                <w:rFonts w:ascii="Calibri" w:eastAsia="Times New Roman" w:hAnsi="Calibri"/>
                <w:sz w:val="22"/>
                <w:szCs w:val="22"/>
              </w:rPr>
              <w:t>)</w:t>
            </w:r>
          </w:p>
        </w:tc>
        <w:tc>
          <w:tcPr>
            <w:tcW w:w="675" w:type="dxa"/>
            <w:tcBorders>
              <w:top w:val="nil"/>
              <w:left w:val="nil"/>
              <w:bottom w:val="single" w:sz="4" w:space="0" w:color="auto"/>
              <w:right w:val="double" w:sz="6" w:space="0" w:color="auto"/>
            </w:tcBorders>
            <w:shd w:val="clear" w:color="000000" w:fill="DDEBF7"/>
            <w:noWrap/>
            <w:vAlign w:val="center"/>
            <w:hideMark/>
          </w:tcPr>
          <w:p w14:paraId="0E1C47B2" w14:textId="77777777" w:rsidR="005C5446" w:rsidRPr="005C5446" w:rsidRDefault="005C5446" w:rsidP="005C5446">
            <w:pPr>
              <w:spacing w:line="240" w:lineRule="auto"/>
              <w:jc w:val="center"/>
              <w:rPr>
                <w:rFonts w:ascii="Calibri" w:eastAsia="Times New Roman" w:hAnsi="Calibri"/>
                <w:b/>
                <w:bCs/>
                <w:sz w:val="22"/>
                <w:szCs w:val="22"/>
              </w:rPr>
            </w:pPr>
            <w:r w:rsidRPr="005C5446">
              <w:rPr>
                <w:rFonts w:ascii="Calibri" w:eastAsia="Times New Roman" w:hAnsi="Calibri"/>
                <w:b/>
                <w:bCs/>
                <w:sz w:val="22"/>
                <w:szCs w:val="22"/>
              </w:rPr>
              <w:t>8.3</w:t>
            </w:r>
          </w:p>
        </w:tc>
      </w:tr>
      <w:tr w:rsidR="005C5446" w:rsidRPr="005C5446" w14:paraId="758D4DBC" w14:textId="77777777" w:rsidTr="005C5446">
        <w:trPr>
          <w:trHeight w:val="402"/>
          <w:jc w:val="center"/>
        </w:trPr>
        <w:tc>
          <w:tcPr>
            <w:tcW w:w="4725" w:type="dxa"/>
            <w:tcBorders>
              <w:top w:val="nil"/>
              <w:left w:val="double" w:sz="6" w:space="0" w:color="auto"/>
              <w:bottom w:val="single" w:sz="4" w:space="0" w:color="auto"/>
              <w:right w:val="single" w:sz="4" w:space="0" w:color="auto"/>
            </w:tcBorders>
            <w:shd w:val="clear" w:color="000000" w:fill="9BC2E6"/>
            <w:noWrap/>
            <w:vAlign w:val="center"/>
            <w:hideMark/>
          </w:tcPr>
          <w:p w14:paraId="3C2DED8C" w14:textId="77777777" w:rsidR="005C5446" w:rsidRPr="005C5446" w:rsidRDefault="005C5446" w:rsidP="005C5446">
            <w:pPr>
              <w:spacing w:line="240" w:lineRule="auto"/>
              <w:jc w:val="center"/>
              <w:rPr>
                <w:rFonts w:ascii="Calibri" w:eastAsia="Times New Roman" w:hAnsi="Calibri"/>
                <w:sz w:val="22"/>
                <w:szCs w:val="22"/>
              </w:rPr>
            </w:pPr>
            <w:r w:rsidRPr="005C5446">
              <w:rPr>
                <w:rFonts w:ascii="Calibri" w:eastAsia="Times New Roman" w:hAnsi="Calibri"/>
                <w:sz w:val="22"/>
                <w:szCs w:val="22"/>
              </w:rPr>
              <w:t>VOLR (</w:t>
            </w:r>
            <w:proofErr w:type="spellStart"/>
            <w:r w:rsidRPr="005C5446">
              <w:rPr>
                <w:rFonts w:ascii="Calibri" w:eastAsia="Times New Roman" w:hAnsi="Calibri"/>
                <w:sz w:val="22"/>
                <w:szCs w:val="22"/>
              </w:rPr>
              <w:t>lb</w:t>
            </w:r>
            <w:proofErr w:type="spellEnd"/>
            <w:r w:rsidRPr="005C5446">
              <w:rPr>
                <w:rFonts w:ascii="Calibri" w:eastAsia="Times New Roman" w:hAnsi="Calibri"/>
                <w:sz w:val="22"/>
                <w:szCs w:val="22"/>
              </w:rPr>
              <w:t xml:space="preserve"> BOD</w:t>
            </w:r>
            <w:r w:rsidR="007B2902">
              <w:rPr>
                <w:rFonts w:ascii="Calibri" w:eastAsia="Times New Roman" w:hAnsi="Calibri"/>
                <w:sz w:val="22"/>
                <w:szCs w:val="22"/>
              </w:rPr>
              <w:t>5</w:t>
            </w:r>
            <w:r w:rsidRPr="005C5446">
              <w:rPr>
                <w:rFonts w:ascii="Calibri" w:eastAsia="Times New Roman" w:hAnsi="Calibri"/>
                <w:sz w:val="22"/>
                <w:szCs w:val="22"/>
              </w:rPr>
              <w:t xml:space="preserve">/(thou cu </w:t>
            </w:r>
            <w:proofErr w:type="spellStart"/>
            <w:r w:rsidRPr="005C5446">
              <w:rPr>
                <w:rFonts w:ascii="Calibri" w:eastAsia="Times New Roman" w:hAnsi="Calibri"/>
                <w:sz w:val="22"/>
                <w:szCs w:val="22"/>
              </w:rPr>
              <w:t>ft</w:t>
            </w:r>
            <w:proofErr w:type="spellEnd"/>
            <w:r w:rsidRPr="005C5446">
              <w:rPr>
                <w:rFonts w:ascii="Calibri" w:eastAsia="Times New Roman" w:hAnsi="Calibri"/>
                <w:sz w:val="22"/>
                <w:szCs w:val="22"/>
              </w:rPr>
              <w:t>-day))</w:t>
            </w:r>
          </w:p>
        </w:tc>
        <w:tc>
          <w:tcPr>
            <w:tcW w:w="675" w:type="dxa"/>
            <w:tcBorders>
              <w:top w:val="nil"/>
              <w:left w:val="nil"/>
              <w:bottom w:val="single" w:sz="4" w:space="0" w:color="auto"/>
              <w:right w:val="double" w:sz="6" w:space="0" w:color="auto"/>
            </w:tcBorders>
            <w:shd w:val="clear" w:color="000000" w:fill="DDEBF7"/>
            <w:noWrap/>
            <w:vAlign w:val="center"/>
            <w:hideMark/>
          </w:tcPr>
          <w:p w14:paraId="48FEE468" w14:textId="77777777" w:rsidR="005C5446" w:rsidRPr="005C5446" w:rsidRDefault="005C5446" w:rsidP="005C5446">
            <w:pPr>
              <w:spacing w:line="240" w:lineRule="auto"/>
              <w:jc w:val="center"/>
              <w:rPr>
                <w:rFonts w:ascii="Calibri" w:eastAsia="Times New Roman" w:hAnsi="Calibri"/>
                <w:b/>
                <w:bCs/>
                <w:sz w:val="22"/>
                <w:szCs w:val="22"/>
              </w:rPr>
            </w:pPr>
            <w:r w:rsidRPr="005C5446">
              <w:rPr>
                <w:rFonts w:ascii="Calibri" w:eastAsia="Times New Roman" w:hAnsi="Calibri"/>
                <w:b/>
                <w:bCs/>
                <w:sz w:val="22"/>
                <w:szCs w:val="22"/>
              </w:rPr>
              <w:t>25.76</w:t>
            </w:r>
          </w:p>
        </w:tc>
      </w:tr>
      <w:tr w:rsidR="005C5446" w:rsidRPr="005C5446" w14:paraId="6C11F0F3" w14:textId="77777777" w:rsidTr="005C5446">
        <w:trPr>
          <w:trHeight w:val="402"/>
          <w:jc w:val="center"/>
        </w:trPr>
        <w:tc>
          <w:tcPr>
            <w:tcW w:w="4725" w:type="dxa"/>
            <w:tcBorders>
              <w:top w:val="nil"/>
              <w:left w:val="double" w:sz="6" w:space="0" w:color="auto"/>
              <w:bottom w:val="single" w:sz="4" w:space="0" w:color="auto"/>
              <w:right w:val="single" w:sz="4" w:space="0" w:color="auto"/>
            </w:tcBorders>
            <w:shd w:val="clear" w:color="000000" w:fill="9BC2E6"/>
            <w:noWrap/>
            <w:vAlign w:val="center"/>
            <w:hideMark/>
          </w:tcPr>
          <w:p w14:paraId="48EC0AF9" w14:textId="77777777" w:rsidR="005C5446" w:rsidRPr="005C5446" w:rsidRDefault="005C5446" w:rsidP="005C5446">
            <w:pPr>
              <w:spacing w:line="240" w:lineRule="auto"/>
              <w:jc w:val="center"/>
              <w:rPr>
                <w:rFonts w:ascii="Calibri" w:eastAsia="Times New Roman" w:hAnsi="Calibri"/>
                <w:sz w:val="22"/>
                <w:szCs w:val="22"/>
              </w:rPr>
            </w:pPr>
            <w:r w:rsidRPr="005C5446">
              <w:rPr>
                <w:rFonts w:ascii="Calibri" w:eastAsia="Times New Roman" w:hAnsi="Calibri"/>
                <w:sz w:val="22"/>
                <w:szCs w:val="22"/>
              </w:rPr>
              <w:t>Effluent CBOD5 (mg/L)</w:t>
            </w:r>
          </w:p>
        </w:tc>
        <w:tc>
          <w:tcPr>
            <w:tcW w:w="675" w:type="dxa"/>
            <w:tcBorders>
              <w:top w:val="nil"/>
              <w:left w:val="nil"/>
              <w:bottom w:val="single" w:sz="4" w:space="0" w:color="auto"/>
              <w:right w:val="double" w:sz="6" w:space="0" w:color="auto"/>
            </w:tcBorders>
            <w:shd w:val="clear" w:color="000000" w:fill="DDEBF7"/>
            <w:noWrap/>
            <w:vAlign w:val="center"/>
            <w:hideMark/>
          </w:tcPr>
          <w:p w14:paraId="226DDF08" w14:textId="77777777" w:rsidR="005C5446" w:rsidRPr="005C5446" w:rsidRDefault="005C5446" w:rsidP="005C5446">
            <w:pPr>
              <w:spacing w:line="240" w:lineRule="auto"/>
              <w:jc w:val="center"/>
              <w:rPr>
                <w:rFonts w:ascii="Calibri" w:eastAsia="Times New Roman" w:hAnsi="Calibri"/>
                <w:b/>
                <w:bCs/>
                <w:sz w:val="22"/>
                <w:szCs w:val="22"/>
              </w:rPr>
            </w:pPr>
            <w:r w:rsidRPr="005C5446">
              <w:rPr>
                <w:rFonts w:ascii="Calibri" w:eastAsia="Times New Roman" w:hAnsi="Calibri"/>
                <w:b/>
                <w:bCs/>
                <w:sz w:val="22"/>
                <w:szCs w:val="22"/>
              </w:rPr>
              <w:t>4.4</w:t>
            </w:r>
          </w:p>
        </w:tc>
      </w:tr>
      <w:tr w:rsidR="005C5446" w:rsidRPr="005C5446" w14:paraId="31BFDEDE" w14:textId="77777777" w:rsidTr="005C5446">
        <w:trPr>
          <w:trHeight w:val="402"/>
          <w:jc w:val="center"/>
        </w:trPr>
        <w:tc>
          <w:tcPr>
            <w:tcW w:w="4725" w:type="dxa"/>
            <w:tcBorders>
              <w:top w:val="nil"/>
              <w:left w:val="double" w:sz="6" w:space="0" w:color="auto"/>
              <w:bottom w:val="single" w:sz="4" w:space="0" w:color="auto"/>
              <w:right w:val="single" w:sz="4" w:space="0" w:color="auto"/>
            </w:tcBorders>
            <w:shd w:val="clear" w:color="000000" w:fill="9BC2E6"/>
            <w:noWrap/>
            <w:vAlign w:val="center"/>
            <w:hideMark/>
          </w:tcPr>
          <w:p w14:paraId="07557937" w14:textId="77777777" w:rsidR="005C5446" w:rsidRPr="005C5446" w:rsidRDefault="005C5446" w:rsidP="005C5446">
            <w:pPr>
              <w:spacing w:line="240" w:lineRule="auto"/>
              <w:jc w:val="center"/>
              <w:rPr>
                <w:rFonts w:ascii="Calibri" w:eastAsia="Times New Roman" w:hAnsi="Calibri"/>
                <w:sz w:val="22"/>
                <w:szCs w:val="22"/>
              </w:rPr>
            </w:pPr>
            <w:r w:rsidRPr="005C5446">
              <w:rPr>
                <w:rFonts w:ascii="Calibri" w:eastAsia="Times New Roman" w:hAnsi="Calibri"/>
                <w:sz w:val="22"/>
                <w:szCs w:val="22"/>
              </w:rPr>
              <w:t>Effluent TSS (mg/L)</w:t>
            </w:r>
          </w:p>
        </w:tc>
        <w:tc>
          <w:tcPr>
            <w:tcW w:w="675" w:type="dxa"/>
            <w:tcBorders>
              <w:top w:val="nil"/>
              <w:left w:val="nil"/>
              <w:bottom w:val="single" w:sz="4" w:space="0" w:color="auto"/>
              <w:right w:val="double" w:sz="6" w:space="0" w:color="auto"/>
            </w:tcBorders>
            <w:shd w:val="clear" w:color="000000" w:fill="DDEBF7"/>
            <w:noWrap/>
            <w:vAlign w:val="center"/>
            <w:hideMark/>
          </w:tcPr>
          <w:p w14:paraId="7517EBD9" w14:textId="77777777" w:rsidR="005C5446" w:rsidRPr="005C5446" w:rsidRDefault="005C5446" w:rsidP="005C5446">
            <w:pPr>
              <w:spacing w:line="240" w:lineRule="auto"/>
              <w:jc w:val="center"/>
              <w:rPr>
                <w:rFonts w:ascii="Calibri" w:eastAsia="Times New Roman" w:hAnsi="Calibri"/>
                <w:b/>
                <w:bCs/>
                <w:sz w:val="22"/>
                <w:szCs w:val="22"/>
              </w:rPr>
            </w:pPr>
            <w:r w:rsidRPr="005C5446">
              <w:rPr>
                <w:rFonts w:ascii="Calibri" w:eastAsia="Times New Roman" w:hAnsi="Calibri"/>
                <w:b/>
                <w:bCs/>
                <w:sz w:val="22"/>
                <w:szCs w:val="22"/>
              </w:rPr>
              <w:t>5.0</w:t>
            </w:r>
          </w:p>
        </w:tc>
      </w:tr>
      <w:tr w:rsidR="005C5446" w:rsidRPr="005C5446" w14:paraId="1179ED92" w14:textId="77777777" w:rsidTr="005C5446">
        <w:trPr>
          <w:trHeight w:val="402"/>
          <w:jc w:val="center"/>
        </w:trPr>
        <w:tc>
          <w:tcPr>
            <w:tcW w:w="4725" w:type="dxa"/>
            <w:tcBorders>
              <w:top w:val="nil"/>
              <w:left w:val="double" w:sz="6" w:space="0" w:color="auto"/>
              <w:bottom w:val="single" w:sz="4" w:space="0" w:color="auto"/>
              <w:right w:val="single" w:sz="4" w:space="0" w:color="auto"/>
            </w:tcBorders>
            <w:shd w:val="clear" w:color="000000" w:fill="9BC2E6"/>
            <w:noWrap/>
            <w:vAlign w:val="center"/>
            <w:hideMark/>
          </w:tcPr>
          <w:p w14:paraId="28D5A804" w14:textId="77777777" w:rsidR="005C5446" w:rsidRPr="005C5446" w:rsidRDefault="005C5446" w:rsidP="005C5446">
            <w:pPr>
              <w:spacing w:line="240" w:lineRule="auto"/>
              <w:jc w:val="center"/>
              <w:rPr>
                <w:rFonts w:ascii="Calibri" w:eastAsia="Times New Roman" w:hAnsi="Calibri"/>
                <w:sz w:val="22"/>
                <w:szCs w:val="22"/>
              </w:rPr>
            </w:pPr>
            <w:r w:rsidRPr="005C5446">
              <w:rPr>
                <w:rFonts w:ascii="Calibri" w:eastAsia="Times New Roman" w:hAnsi="Calibri"/>
                <w:sz w:val="22"/>
                <w:szCs w:val="22"/>
              </w:rPr>
              <w:t>Effluent Ammonia-N (mg/L)</w:t>
            </w:r>
          </w:p>
        </w:tc>
        <w:tc>
          <w:tcPr>
            <w:tcW w:w="675" w:type="dxa"/>
            <w:tcBorders>
              <w:top w:val="nil"/>
              <w:left w:val="nil"/>
              <w:bottom w:val="single" w:sz="4" w:space="0" w:color="auto"/>
              <w:right w:val="double" w:sz="6" w:space="0" w:color="auto"/>
            </w:tcBorders>
            <w:shd w:val="clear" w:color="000000" w:fill="DDEBF7"/>
            <w:noWrap/>
            <w:vAlign w:val="center"/>
            <w:hideMark/>
          </w:tcPr>
          <w:p w14:paraId="279B723A" w14:textId="77777777" w:rsidR="005C5446" w:rsidRPr="005C5446" w:rsidRDefault="005C5446" w:rsidP="005C5446">
            <w:pPr>
              <w:spacing w:line="240" w:lineRule="auto"/>
              <w:jc w:val="center"/>
              <w:rPr>
                <w:rFonts w:ascii="Calibri" w:eastAsia="Times New Roman" w:hAnsi="Calibri"/>
                <w:b/>
                <w:bCs/>
                <w:sz w:val="22"/>
                <w:szCs w:val="22"/>
              </w:rPr>
            </w:pPr>
            <w:r w:rsidRPr="005C5446">
              <w:rPr>
                <w:rFonts w:ascii="Calibri" w:eastAsia="Times New Roman" w:hAnsi="Calibri"/>
                <w:b/>
                <w:bCs/>
                <w:sz w:val="22"/>
                <w:szCs w:val="22"/>
              </w:rPr>
              <w:t>1.63</w:t>
            </w:r>
          </w:p>
        </w:tc>
      </w:tr>
      <w:tr w:rsidR="005C5446" w:rsidRPr="005C5446" w14:paraId="79B95847" w14:textId="77777777" w:rsidTr="005C5446">
        <w:trPr>
          <w:trHeight w:val="402"/>
          <w:jc w:val="center"/>
        </w:trPr>
        <w:tc>
          <w:tcPr>
            <w:tcW w:w="4725" w:type="dxa"/>
            <w:tcBorders>
              <w:top w:val="nil"/>
              <w:left w:val="double" w:sz="6" w:space="0" w:color="auto"/>
              <w:bottom w:val="single" w:sz="4" w:space="0" w:color="auto"/>
              <w:right w:val="single" w:sz="4" w:space="0" w:color="auto"/>
            </w:tcBorders>
            <w:shd w:val="clear" w:color="000000" w:fill="9BC2E6"/>
            <w:noWrap/>
            <w:vAlign w:val="center"/>
            <w:hideMark/>
          </w:tcPr>
          <w:p w14:paraId="0D9BACFE" w14:textId="77777777" w:rsidR="005C5446" w:rsidRPr="005C5446" w:rsidRDefault="005C5446" w:rsidP="005C5446">
            <w:pPr>
              <w:spacing w:line="240" w:lineRule="auto"/>
              <w:jc w:val="center"/>
              <w:rPr>
                <w:rFonts w:ascii="Calibri" w:eastAsia="Times New Roman" w:hAnsi="Calibri"/>
                <w:sz w:val="22"/>
                <w:szCs w:val="22"/>
              </w:rPr>
            </w:pPr>
            <w:r w:rsidRPr="005C5446">
              <w:rPr>
                <w:rFonts w:ascii="Calibri" w:eastAsia="Times New Roman" w:hAnsi="Calibri"/>
                <w:sz w:val="22"/>
                <w:szCs w:val="22"/>
              </w:rPr>
              <w:t>Effluent NO3-N (mg/L)</w:t>
            </w:r>
          </w:p>
        </w:tc>
        <w:tc>
          <w:tcPr>
            <w:tcW w:w="675" w:type="dxa"/>
            <w:tcBorders>
              <w:top w:val="nil"/>
              <w:left w:val="nil"/>
              <w:bottom w:val="single" w:sz="4" w:space="0" w:color="auto"/>
              <w:right w:val="double" w:sz="6" w:space="0" w:color="auto"/>
            </w:tcBorders>
            <w:shd w:val="clear" w:color="000000" w:fill="DDEBF7"/>
            <w:noWrap/>
            <w:vAlign w:val="center"/>
            <w:hideMark/>
          </w:tcPr>
          <w:p w14:paraId="28485388" w14:textId="77777777" w:rsidR="005C5446" w:rsidRPr="005C5446" w:rsidRDefault="005C5446" w:rsidP="005C5446">
            <w:pPr>
              <w:spacing w:line="240" w:lineRule="auto"/>
              <w:jc w:val="center"/>
              <w:rPr>
                <w:rFonts w:ascii="Calibri" w:eastAsia="Times New Roman" w:hAnsi="Calibri"/>
                <w:b/>
                <w:bCs/>
                <w:sz w:val="22"/>
                <w:szCs w:val="22"/>
              </w:rPr>
            </w:pPr>
            <w:r w:rsidRPr="005C5446">
              <w:rPr>
                <w:rFonts w:ascii="Calibri" w:eastAsia="Times New Roman" w:hAnsi="Calibri"/>
                <w:b/>
                <w:bCs/>
                <w:sz w:val="22"/>
                <w:szCs w:val="22"/>
              </w:rPr>
              <w:t>15.7</w:t>
            </w:r>
          </w:p>
        </w:tc>
      </w:tr>
      <w:tr w:rsidR="005C5446" w:rsidRPr="005C5446" w14:paraId="42D793BC" w14:textId="77777777" w:rsidTr="005C5446">
        <w:trPr>
          <w:trHeight w:val="402"/>
          <w:jc w:val="center"/>
        </w:trPr>
        <w:tc>
          <w:tcPr>
            <w:tcW w:w="4725" w:type="dxa"/>
            <w:tcBorders>
              <w:top w:val="nil"/>
              <w:left w:val="double" w:sz="6" w:space="0" w:color="auto"/>
              <w:bottom w:val="double" w:sz="6" w:space="0" w:color="auto"/>
              <w:right w:val="single" w:sz="4" w:space="0" w:color="auto"/>
            </w:tcBorders>
            <w:shd w:val="clear" w:color="000000" w:fill="9BC2E6"/>
            <w:noWrap/>
            <w:vAlign w:val="center"/>
            <w:hideMark/>
          </w:tcPr>
          <w:p w14:paraId="567C8DC2" w14:textId="77777777" w:rsidR="005C5446" w:rsidRPr="005C5446" w:rsidRDefault="005C5446" w:rsidP="005C5446">
            <w:pPr>
              <w:spacing w:line="240" w:lineRule="auto"/>
              <w:jc w:val="center"/>
              <w:rPr>
                <w:rFonts w:ascii="Calibri" w:eastAsia="Times New Roman" w:hAnsi="Calibri"/>
                <w:sz w:val="22"/>
                <w:szCs w:val="22"/>
              </w:rPr>
            </w:pPr>
            <w:r w:rsidRPr="005C5446">
              <w:rPr>
                <w:rFonts w:ascii="Calibri" w:eastAsia="Times New Roman" w:hAnsi="Calibri"/>
                <w:sz w:val="22"/>
                <w:szCs w:val="22"/>
              </w:rPr>
              <w:t>Effluent NO3-N W/</w:t>
            </w:r>
            <w:proofErr w:type="spellStart"/>
            <w:r w:rsidRPr="005C5446">
              <w:rPr>
                <w:rFonts w:ascii="Calibri" w:eastAsia="Times New Roman" w:hAnsi="Calibri"/>
                <w:sz w:val="22"/>
                <w:szCs w:val="22"/>
              </w:rPr>
              <w:t>denit</w:t>
            </w:r>
            <w:proofErr w:type="spellEnd"/>
            <w:r w:rsidRPr="005C5446">
              <w:rPr>
                <w:rFonts w:ascii="Calibri" w:eastAsia="Times New Roman" w:hAnsi="Calibri"/>
                <w:sz w:val="22"/>
                <w:szCs w:val="22"/>
              </w:rPr>
              <w:t xml:space="preserve"> (mg/L)</w:t>
            </w:r>
          </w:p>
        </w:tc>
        <w:tc>
          <w:tcPr>
            <w:tcW w:w="675" w:type="dxa"/>
            <w:tcBorders>
              <w:top w:val="nil"/>
              <w:left w:val="nil"/>
              <w:bottom w:val="double" w:sz="6" w:space="0" w:color="auto"/>
              <w:right w:val="double" w:sz="6" w:space="0" w:color="auto"/>
            </w:tcBorders>
            <w:shd w:val="clear" w:color="000000" w:fill="DDEBF7"/>
            <w:noWrap/>
            <w:vAlign w:val="center"/>
            <w:hideMark/>
          </w:tcPr>
          <w:p w14:paraId="03572FF6" w14:textId="77777777" w:rsidR="005C5446" w:rsidRPr="005C5446" w:rsidRDefault="005C5446" w:rsidP="005C5446">
            <w:pPr>
              <w:spacing w:line="240" w:lineRule="auto"/>
              <w:jc w:val="center"/>
              <w:rPr>
                <w:rFonts w:ascii="Calibri" w:eastAsia="Times New Roman" w:hAnsi="Calibri"/>
                <w:b/>
                <w:bCs/>
                <w:sz w:val="22"/>
                <w:szCs w:val="22"/>
              </w:rPr>
            </w:pPr>
            <w:r w:rsidRPr="005C5446">
              <w:rPr>
                <w:rFonts w:ascii="Calibri" w:eastAsia="Times New Roman" w:hAnsi="Calibri"/>
                <w:b/>
                <w:bCs/>
                <w:sz w:val="22"/>
                <w:szCs w:val="22"/>
              </w:rPr>
              <w:t>4.7</w:t>
            </w:r>
          </w:p>
        </w:tc>
      </w:tr>
    </w:tbl>
    <w:p w14:paraId="634B62F2" w14:textId="77777777" w:rsidR="005C5446" w:rsidRDefault="005C5446" w:rsidP="00CB3C92"/>
    <w:p w14:paraId="5E1FBAF9" w14:textId="024FE4FF" w:rsidR="007B2902" w:rsidRDefault="007B2902" w:rsidP="00CB3C92">
      <w:r>
        <w:t>The</w:t>
      </w:r>
      <w:r w:rsidR="00BE13B7">
        <w:t xml:space="preserve"> other</w:t>
      </w:r>
      <w:r>
        <w:t xml:space="preserve"> output data noted above are self-explanatory in most cases. For an activated sludge process achieving some degree of </w:t>
      </w:r>
      <w:r w:rsidR="008C6375" w:rsidRPr="008C6375">
        <w:rPr>
          <w:i/>
        </w:rPr>
        <w:t>nitrification</w:t>
      </w:r>
      <w:r w:rsidR="008C6375">
        <w:t xml:space="preserve">, </w:t>
      </w:r>
      <w:r>
        <w:t>estimate</w:t>
      </w:r>
      <w:r w:rsidR="008C6375">
        <w:t>s</w:t>
      </w:r>
      <w:r>
        <w:t xml:space="preserve"> of the effluent ammonia-N concentration and eff</w:t>
      </w:r>
      <w:r w:rsidR="008C6375">
        <w:t>luent nitrate-N concentration are</w:t>
      </w:r>
      <w:r>
        <w:t xml:space="preserve"> provided. If the activated sludge process is operated to achieve </w:t>
      </w:r>
      <w:r w:rsidRPr="008C6375">
        <w:rPr>
          <w:i/>
        </w:rPr>
        <w:t>denitrification</w:t>
      </w:r>
      <w:r>
        <w:t xml:space="preserve"> by incorporating an anoxic zone or by turning the aeration equipment off for a few hours each day, a very rough estimate of the effluent nitrate-N concentration with </w:t>
      </w:r>
      <w:r w:rsidRPr="008C6375">
        <w:rPr>
          <w:i/>
        </w:rPr>
        <w:t>denitrification</w:t>
      </w:r>
      <w:r>
        <w:t xml:space="preserve"> is provided at the very end of the respective output table. </w:t>
      </w:r>
      <w:r w:rsidR="008C6375">
        <w:t xml:space="preserve">The rough estimate of the efficiency of </w:t>
      </w:r>
      <w:r w:rsidR="008C6375" w:rsidRPr="008C6375">
        <w:rPr>
          <w:i/>
        </w:rPr>
        <w:t>denitrification</w:t>
      </w:r>
      <w:r w:rsidR="008C6375">
        <w:t xml:space="preserve"> is 70%. Thus, the last value in the above table is 30% of the effluent nitrate-N concentration given in the next to last row of the table. Obviously, this is not a detailed simulation of </w:t>
      </w:r>
      <w:r w:rsidR="008C6375" w:rsidRPr="008C6375">
        <w:rPr>
          <w:i/>
        </w:rPr>
        <w:t>denitrification</w:t>
      </w:r>
      <w:r w:rsidR="008C6375">
        <w:t xml:space="preserve"> efficiency but a very rough</w:t>
      </w:r>
      <w:r w:rsidR="00A47ABC">
        <w:t xml:space="preserve"> and conservative</w:t>
      </w:r>
      <w:r w:rsidR="008C6375">
        <w:t xml:space="preserve"> estimate.</w:t>
      </w:r>
    </w:p>
    <w:p w14:paraId="0254D33A" w14:textId="77777777" w:rsidR="002D081E" w:rsidRDefault="002D081E" w:rsidP="00CB3C92"/>
    <w:p w14:paraId="0B3819B6" w14:textId="77777777" w:rsidR="002D081E" w:rsidRDefault="00827AAB" w:rsidP="00CB3C92">
      <w:r>
        <w:t>In addition to the “</w:t>
      </w:r>
      <w:r>
        <w:rPr>
          <w:b/>
        </w:rPr>
        <w:t>Output”</w:t>
      </w:r>
      <w:r>
        <w:t xml:space="preserve"> tables of the </w:t>
      </w:r>
      <w:r>
        <w:rPr>
          <w:b/>
        </w:rPr>
        <w:t>Input Output Data</w:t>
      </w:r>
      <w:r>
        <w:t xml:space="preserve"> sheet tab, the model provides detailed output for each SRT value specified in the input data. The detailed output data for each SRT are provided in the </w:t>
      </w:r>
      <w:r>
        <w:rPr>
          <w:b/>
        </w:rPr>
        <w:t xml:space="preserve">Calculations Current </w:t>
      </w:r>
      <w:r>
        <w:t xml:space="preserve">sheet tab and the </w:t>
      </w:r>
      <w:r>
        <w:rPr>
          <w:b/>
        </w:rPr>
        <w:t>Calculations Alternate</w:t>
      </w:r>
      <w:r>
        <w:t xml:space="preserve"> sheet tab at the bottom of the page. Moreover, the </w:t>
      </w:r>
      <w:r>
        <w:rPr>
          <w:b/>
        </w:rPr>
        <w:t>Charts</w:t>
      </w:r>
      <w:r>
        <w:t xml:space="preserve"> sheet tab at the bottom of the page provides six graphs for each of the two input data sets (</w:t>
      </w:r>
      <w:r>
        <w:rPr>
          <w:b/>
        </w:rPr>
        <w:t>Current Conditions</w:t>
      </w:r>
      <w:r>
        <w:t xml:space="preserve"> and </w:t>
      </w:r>
      <w:r>
        <w:rPr>
          <w:b/>
        </w:rPr>
        <w:t>Alternate Scenario</w:t>
      </w:r>
      <w:r>
        <w:t>). These graphs may be useful to the model user to view the impacts of SRT values on effluent soluble CBOD</w:t>
      </w:r>
      <w:r w:rsidRPr="00AD3B5C">
        <w:rPr>
          <w:vertAlign w:val="subscript"/>
        </w:rPr>
        <w:t>5</w:t>
      </w:r>
      <w:r>
        <w:t xml:space="preserve"> concentration (S</w:t>
      </w:r>
      <w:r w:rsidRPr="00AD3B5C">
        <w:rPr>
          <w:vertAlign w:val="subscript"/>
        </w:rPr>
        <w:t>e</w:t>
      </w:r>
      <w:r>
        <w:t>), MLVSS</w:t>
      </w:r>
      <w:r w:rsidR="00AD3B5C">
        <w:t xml:space="preserve"> concentration</w:t>
      </w:r>
      <w:r>
        <w:t>, MLSS</w:t>
      </w:r>
      <w:r w:rsidR="00AD3B5C">
        <w:t xml:space="preserve"> concentration</w:t>
      </w:r>
      <w:r>
        <w:t xml:space="preserve">, </w:t>
      </w:r>
      <w:r w:rsidR="00AD3B5C">
        <w:t>sludge production as VSS (</w:t>
      </w:r>
      <w:proofErr w:type="spellStart"/>
      <w:r w:rsidR="00AD3B5C">
        <w:t>lb</w:t>
      </w:r>
      <w:proofErr w:type="spellEnd"/>
      <w:r w:rsidR="00AD3B5C">
        <w:t>/day), sludge production as TSS (</w:t>
      </w:r>
      <w:proofErr w:type="spellStart"/>
      <w:r w:rsidR="00AD3B5C">
        <w:t>lb</w:t>
      </w:r>
      <w:proofErr w:type="spellEnd"/>
      <w:r w:rsidR="00AD3B5C">
        <w:t>/day), and total oxygen requirements (</w:t>
      </w:r>
      <w:proofErr w:type="spellStart"/>
      <w:r w:rsidR="00AD3B5C">
        <w:t>lb</w:t>
      </w:r>
      <w:proofErr w:type="spellEnd"/>
      <w:r w:rsidR="00AD3B5C">
        <w:t>/day) for the activated sludge process.</w:t>
      </w:r>
    </w:p>
    <w:p w14:paraId="023F1318" w14:textId="77777777" w:rsidR="009C2727" w:rsidRDefault="009C2727" w:rsidP="00CB3C92"/>
    <w:p w14:paraId="48CC3E20" w14:textId="77777777" w:rsidR="009C2727" w:rsidRDefault="009C2727" w:rsidP="00CB3C92">
      <w:r>
        <w:t>It should be noted that the effluent soluble CBOD</w:t>
      </w:r>
      <w:r w:rsidRPr="00AD3B5C">
        <w:rPr>
          <w:vertAlign w:val="subscript"/>
        </w:rPr>
        <w:t>5</w:t>
      </w:r>
      <w:r>
        <w:t xml:space="preserve"> concentration (S</w:t>
      </w:r>
      <w:r w:rsidRPr="00AD3B5C">
        <w:rPr>
          <w:vertAlign w:val="subscript"/>
        </w:rPr>
        <w:t>e</w:t>
      </w:r>
      <w:r>
        <w:t>) is calculated by the following equation:</w:t>
      </w:r>
    </w:p>
    <w:p w14:paraId="5E7827F9" w14:textId="77777777" w:rsidR="009C2727" w:rsidRDefault="009C2727" w:rsidP="00CB3C92"/>
    <w:p w14:paraId="42A256F2" w14:textId="77777777" w:rsidR="009C2727" w:rsidRPr="00827AAB" w:rsidRDefault="009C2727" w:rsidP="009C2727">
      <w:pPr>
        <w:jc w:val="center"/>
      </w:pPr>
      <w:r w:rsidRPr="009C2727">
        <w:object w:dxaOrig="2140" w:dyaOrig="680" w14:anchorId="6A9E184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7pt;height:34pt" o:ole="">
            <v:imagedata r:id="rId10" o:title=""/>
          </v:shape>
          <o:OLEObject Type="Embed" ProgID="Equation.3" ShapeID="_x0000_i1025" DrawAspect="Content" ObjectID="_1565425255" r:id="rId11"/>
        </w:object>
      </w:r>
    </w:p>
    <w:p w14:paraId="1A03BB25" w14:textId="77777777" w:rsidR="002D081E" w:rsidRDefault="002D081E" w:rsidP="00CB3C92"/>
    <w:p w14:paraId="1C2F2A8C" w14:textId="77777777" w:rsidR="002D081E" w:rsidRDefault="00D50047" w:rsidP="00CB3C92">
      <w:proofErr w:type="gramStart"/>
      <w:r>
        <w:t>w</w:t>
      </w:r>
      <w:r w:rsidR="009C2727">
        <w:t>here</w:t>
      </w:r>
      <w:proofErr w:type="gramEnd"/>
      <w:r w:rsidR="009C2727">
        <w:t>:</w:t>
      </w:r>
    </w:p>
    <w:p w14:paraId="588007DD" w14:textId="77777777" w:rsidR="009C2727" w:rsidRDefault="009C2727" w:rsidP="00CB3C92"/>
    <w:p w14:paraId="42BA7C4E" w14:textId="77777777" w:rsidR="009C2727" w:rsidRDefault="009C2727" w:rsidP="00CB3C92">
      <w:r>
        <w:tab/>
        <w:t>S</w:t>
      </w:r>
      <w:r w:rsidRPr="009C2727">
        <w:rPr>
          <w:vertAlign w:val="subscript"/>
        </w:rPr>
        <w:t>e</w:t>
      </w:r>
      <w:r>
        <w:t xml:space="preserve"> = effluent soluble CBOD</w:t>
      </w:r>
      <w:r w:rsidRPr="00AD3B5C">
        <w:rPr>
          <w:vertAlign w:val="subscript"/>
        </w:rPr>
        <w:t>5</w:t>
      </w:r>
      <w:r>
        <w:t xml:space="preserve"> concentration, mg/L</w:t>
      </w:r>
    </w:p>
    <w:p w14:paraId="073FA012" w14:textId="77777777" w:rsidR="009C2727" w:rsidRDefault="009C2727" w:rsidP="00CB3C92">
      <w:r>
        <w:tab/>
        <w:t>K</w:t>
      </w:r>
      <w:r w:rsidRPr="009C2727">
        <w:rPr>
          <w:vertAlign w:val="subscript"/>
        </w:rPr>
        <w:t>s</w:t>
      </w:r>
      <w:r>
        <w:t xml:space="preserve"> = half saturation constant, mg/L</w:t>
      </w:r>
    </w:p>
    <w:p w14:paraId="2EEC7CF3" w14:textId="77777777" w:rsidR="009C2727" w:rsidRDefault="009C2727" w:rsidP="00CB3C92">
      <w:r>
        <w:tab/>
      </w:r>
      <w:proofErr w:type="spellStart"/>
      <w:proofErr w:type="gramStart"/>
      <w:r>
        <w:t>k</w:t>
      </w:r>
      <w:r w:rsidRPr="009C2727">
        <w:rPr>
          <w:vertAlign w:val="subscript"/>
        </w:rPr>
        <w:t>e</w:t>
      </w:r>
      <w:proofErr w:type="spellEnd"/>
      <w:proofErr w:type="gramEnd"/>
      <w:r>
        <w:t xml:space="preserve"> = </w:t>
      </w:r>
      <w:proofErr w:type="spellStart"/>
      <w:r>
        <w:t>k</w:t>
      </w:r>
      <w:r w:rsidRPr="009C2727">
        <w:rPr>
          <w:vertAlign w:val="subscript"/>
        </w:rPr>
        <w:t>d</w:t>
      </w:r>
      <w:proofErr w:type="spellEnd"/>
      <w:r>
        <w:t xml:space="preserve"> = endogenous decay coefficient, day</w:t>
      </w:r>
      <w:r w:rsidRPr="009C2727">
        <w:rPr>
          <w:vertAlign w:val="superscript"/>
        </w:rPr>
        <w:t>-1</w:t>
      </w:r>
      <w:r>
        <w:t xml:space="preserve"> </w:t>
      </w:r>
    </w:p>
    <w:p w14:paraId="418248C6" w14:textId="77777777" w:rsidR="009C2727" w:rsidRDefault="009C2727" w:rsidP="00CB3C92">
      <w:r>
        <w:tab/>
      </w:r>
      <w:proofErr w:type="spellStart"/>
      <w:r>
        <w:t>Ɵ</w:t>
      </w:r>
      <w:r w:rsidRPr="009C2727">
        <w:rPr>
          <w:vertAlign w:val="subscript"/>
        </w:rPr>
        <w:t>c</w:t>
      </w:r>
      <w:proofErr w:type="spellEnd"/>
      <w:r>
        <w:t xml:space="preserve"> = solids retention time, days</w:t>
      </w:r>
    </w:p>
    <w:p w14:paraId="3E2EAD3F" w14:textId="77777777" w:rsidR="00D50047" w:rsidRDefault="009C2727" w:rsidP="00CB3C92">
      <w:r>
        <w:tab/>
      </w:r>
      <w:proofErr w:type="spellStart"/>
      <w:proofErr w:type="gramStart"/>
      <w:r w:rsidR="00D50047">
        <w:t>μ</w:t>
      </w:r>
      <w:r w:rsidRPr="00D50047">
        <w:rPr>
          <w:vertAlign w:val="subscript"/>
        </w:rPr>
        <w:t>max</w:t>
      </w:r>
      <w:proofErr w:type="spellEnd"/>
      <w:proofErr w:type="gramEnd"/>
      <w:r>
        <w:t xml:space="preserve"> = </w:t>
      </w:r>
      <w:proofErr w:type="spellStart"/>
      <w:r w:rsidR="00D50047">
        <w:t>Yk</w:t>
      </w:r>
      <w:proofErr w:type="spellEnd"/>
      <w:r w:rsidR="00D50047">
        <w:t>, day</w:t>
      </w:r>
      <w:r w:rsidR="00D50047" w:rsidRPr="00D50047">
        <w:rPr>
          <w:vertAlign w:val="superscript"/>
        </w:rPr>
        <w:t>-1</w:t>
      </w:r>
      <w:r w:rsidR="00D50047">
        <w:t xml:space="preserve"> </w:t>
      </w:r>
    </w:p>
    <w:p w14:paraId="1FB91125" w14:textId="77777777" w:rsidR="00D50047" w:rsidRDefault="00D50047" w:rsidP="00CB3C92">
      <w:r>
        <w:tab/>
        <w:t>Y = biomass yield constant</w:t>
      </w:r>
    </w:p>
    <w:p w14:paraId="19D38851" w14:textId="7D410E34" w:rsidR="00D50047" w:rsidRDefault="00D50047" w:rsidP="00CB3C92">
      <w:r>
        <w:tab/>
        <w:t xml:space="preserve">k = </w:t>
      </w:r>
      <w:r w:rsidR="003521E1">
        <w:t xml:space="preserve">maximum </w:t>
      </w:r>
      <w:r>
        <w:t>specific substrate utilization rate, day</w:t>
      </w:r>
      <w:r w:rsidRPr="00D50047">
        <w:rPr>
          <w:vertAlign w:val="superscript"/>
        </w:rPr>
        <w:t>-1</w:t>
      </w:r>
      <w:r>
        <w:t xml:space="preserve"> </w:t>
      </w:r>
    </w:p>
    <w:p w14:paraId="5C49AC09" w14:textId="77777777" w:rsidR="00D50047" w:rsidRDefault="00D50047" w:rsidP="00CB3C92"/>
    <w:p w14:paraId="52ED084D" w14:textId="07A01D26" w:rsidR="002D081E" w:rsidRDefault="00BE13B7" w:rsidP="00CB3C92">
      <w:r>
        <w:t xml:space="preserve">An example of the </w:t>
      </w:r>
      <w:r>
        <w:rPr>
          <w:b/>
        </w:rPr>
        <w:t>Actual Aerator Performance</w:t>
      </w:r>
      <w:r>
        <w:t xml:space="preserve"> output data for </w:t>
      </w:r>
      <w:r w:rsidRPr="00BE13B7">
        <w:rPr>
          <w:i/>
        </w:rPr>
        <w:t>existing conditions</w:t>
      </w:r>
      <w:r w:rsidR="000870E5">
        <w:t xml:space="preserve"> (see page 9 for aerator input data for these </w:t>
      </w:r>
      <w:r w:rsidR="000870E5" w:rsidRPr="000870E5">
        <w:rPr>
          <w:i/>
        </w:rPr>
        <w:t>existing conditions</w:t>
      </w:r>
      <w:r w:rsidR="000870E5">
        <w:t>)</w:t>
      </w:r>
      <w:r>
        <w:t xml:space="preserve"> is provided below.</w:t>
      </w:r>
    </w:p>
    <w:p w14:paraId="35E7E48D" w14:textId="77777777" w:rsidR="00BE13B7" w:rsidRDefault="00BE13B7" w:rsidP="00CB3C92"/>
    <w:tbl>
      <w:tblPr>
        <w:tblW w:w="5400" w:type="dxa"/>
        <w:jc w:val="center"/>
        <w:tblLook w:val="04A0" w:firstRow="1" w:lastRow="0" w:firstColumn="1" w:lastColumn="0" w:noHBand="0" w:noVBand="1"/>
      </w:tblPr>
      <w:tblGrid>
        <w:gridCol w:w="4451"/>
        <w:gridCol w:w="949"/>
      </w:tblGrid>
      <w:tr w:rsidR="00BE13B7" w:rsidRPr="00BE13B7" w14:paraId="675DAB32" w14:textId="77777777" w:rsidTr="00BE13B7">
        <w:trPr>
          <w:trHeight w:val="402"/>
          <w:jc w:val="center"/>
        </w:trPr>
        <w:tc>
          <w:tcPr>
            <w:tcW w:w="5400" w:type="dxa"/>
            <w:gridSpan w:val="2"/>
            <w:vMerge w:val="restart"/>
            <w:tcBorders>
              <w:top w:val="double" w:sz="6" w:space="0" w:color="auto"/>
              <w:left w:val="double" w:sz="6" w:space="0" w:color="auto"/>
              <w:bottom w:val="single" w:sz="8" w:space="0" w:color="000000"/>
              <w:right w:val="double" w:sz="6" w:space="0" w:color="000000"/>
            </w:tcBorders>
            <w:shd w:val="clear" w:color="000000" w:fill="2F75B5"/>
            <w:noWrap/>
            <w:vAlign w:val="center"/>
            <w:hideMark/>
          </w:tcPr>
          <w:p w14:paraId="5AFE4303" w14:textId="77777777" w:rsidR="00BE13B7" w:rsidRPr="00BE13B7" w:rsidRDefault="00BE13B7" w:rsidP="00BE13B7">
            <w:pPr>
              <w:spacing w:line="240" w:lineRule="auto"/>
              <w:jc w:val="center"/>
              <w:rPr>
                <w:rFonts w:ascii="Calibri" w:eastAsia="Times New Roman" w:hAnsi="Calibri"/>
                <w:b/>
                <w:bCs/>
                <w:color w:val="FFFFFF"/>
              </w:rPr>
            </w:pPr>
            <w:r w:rsidRPr="00BE13B7">
              <w:rPr>
                <w:rFonts w:ascii="Calibri" w:eastAsia="Times New Roman" w:hAnsi="Calibri"/>
                <w:b/>
                <w:bCs/>
                <w:color w:val="FFFFFF"/>
              </w:rPr>
              <w:t>Actual Aerator Performance</w:t>
            </w:r>
          </w:p>
        </w:tc>
      </w:tr>
      <w:tr w:rsidR="00BE13B7" w:rsidRPr="00BE13B7" w14:paraId="5DA11822" w14:textId="77777777" w:rsidTr="00BE13B7">
        <w:trPr>
          <w:trHeight w:val="402"/>
          <w:jc w:val="center"/>
        </w:trPr>
        <w:tc>
          <w:tcPr>
            <w:tcW w:w="5400" w:type="dxa"/>
            <w:gridSpan w:val="2"/>
            <w:vMerge/>
            <w:tcBorders>
              <w:top w:val="double" w:sz="6" w:space="0" w:color="auto"/>
              <w:left w:val="double" w:sz="6" w:space="0" w:color="auto"/>
              <w:bottom w:val="single" w:sz="8" w:space="0" w:color="000000"/>
              <w:right w:val="double" w:sz="6" w:space="0" w:color="000000"/>
            </w:tcBorders>
            <w:vAlign w:val="center"/>
            <w:hideMark/>
          </w:tcPr>
          <w:p w14:paraId="0F7D8697" w14:textId="77777777" w:rsidR="00BE13B7" w:rsidRPr="00BE13B7" w:rsidRDefault="00BE13B7" w:rsidP="00BE13B7">
            <w:pPr>
              <w:spacing w:line="240" w:lineRule="auto"/>
              <w:rPr>
                <w:rFonts w:ascii="Calibri" w:eastAsia="Times New Roman" w:hAnsi="Calibri"/>
                <w:b/>
                <w:bCs/>
                <w:color w:val="FFFFFF"/>
              </w:rPr>
            </w:pPr>
          </w:p>
        </w:tc>
      </w:tr>
      <w:tr w:rsidR="00BE13B7" w:rsidRPr="00BE13B7" w14:paraId="1BF2DA45" w14:textId="77777777" w:rsidTr="00BE13B7">
        <w:trPr>
          <w:trHeight w:val="402"/>
          <w:jc w:val="center"/>
        </w:trPr>
        <w:tc>
          <w:tcPr>
            <w:tcW w:w="4451" w:type="dxa"/>
            <w:tcBorders>
              <w:top w:val="nil"/>
              <w:left w:val="double" w:sz="6" w:space="0" w:color="auto"/>
              <w:bottom w:val="single" w:sz="4" w:space="0" w:color="auto"/>
              <w:right w:val="single" w:sz="4" w:space="0" w:color="auto"/>
            </w:tcBorders>
            <w:shd w:val="clear" w:color="000000" w:fill="9BC2E6"/>
            <w:noWrap/>
            <w:vAlign w:val="center"/>
            <w:hideMark/>
          </w:tcPr>
          <w:p w14:paraId="0827C2EC" w14:textId="77777777" w:rsidR="00BE13B7" w:rsidRPr="00BE13B7" w:rsidRDefault="00BE13B7" w:rsidP="00BE13B7">
            <w:pPr>
              <w:spacing w:line="240" w:lineRule="auto"/>
              <w:jc w:val="center"/>
              <w:rPr>
                <w:rFonts w:ascii="Calibri" w:eastAsia="Times New Roman" w:hAnsi="Calibri"/>
                <w:sz w:val="22"/>
                <w:szCs w:val="22"/>
              </w:rPr>
            </w:pPr>
            <w:r w:rsidRPr="00BE13B7">
              <w:rPr>
                <w:rFonts w:ascii="Calibri" w:eastAsia="Times New Roman" w:hAnsi="Calibri"/>
                <w:sz w:val="22"/>
                <w:szCs w:val="22"/>
              </w:rPr>
              <w:t xml:space="preserve">Field OTR ( </w:t>
            </w:r>
            <w:proofErr w:type="spellStart"/>
            <w:r w:rsidRPr="00BE13B7">
              <w:rPr>
                <w:rFonts w:ascii="Calibri" w:eastAsia="Times New Roman" w:hAnsi="Calibri"/>
                <w:sz w:val="22"/>
                <w:szCs w:val="22"/>
              </w:rPr>
              <w:t>lb</w:t>
            </w:r>
            <w:proofErr w:type="spellEnd"/>
            <w:r w:rsidRPr="00BE13B7">
              <w:rPr>
                <w:rFonts w:ascii="Calibri" w:eastAsia="Times New Roman" w:hAnsi="Calibri"/>
                <w:sz w:val="22"/>
                <w:szCs w:val="22"/>
              </w:rPr>
              <w:t xml:space="preserve"> O2 / </w:t>
            </w:r>
            <w:proofErr w:type="spellStart"/>
            <w:r w:rsidRPr="00BE13B7">
              <w:rPr>
                <w:rFonts w:ascii="Calibri" w:eastAsia="Times New Roman" w:hAnsi="Calibri"/>
                <w:sz w:val="22"/>
                <w:szCs w:val="22"/>
              </w:rPr>
              <w:t>hp-hr</w:t>
            </w:r>
            <w:proofErr w:type="spellEnd"/>
            <w:r w:rsidRPr="00BE13B7">
              <w:rPr>
                <w:rFonts w:ascii="Calibri" w:eastAsia="Times New Roman" w:hAnsi="Calibri"/>
                <w:sz w:val="22"/>
                <w:szCs w:val="22"/>
              </w:rPr>
              <w:t>)</w:t>
            </w:r>
          </w:p>
        </w:tc>
        <w:tc>
          <w:tcPr>
            <w:tcW w:w="949" w:type="dxa"/>
            <w:tcBorders>
              <w:top w:val="nil"/>
              <w:left w:val="nil"/>
              <w:bottom w:val="single" w:sz="4" w:space="0" w:color="auto"/>
              <w:right w:val="double" w:sz="6" w:space="0" w:color="auto"/>
            </w:tcBorders>
            <w:shd w:val="clear" w:color="000000" w:fill="DDEBF7"/>
            <w:noWrap/>
            <w:vAlign w:val="center"/>
            <w:hideMark/>
          </w:tcPr>
          <w:p w14:paraId="786D80CB" w14:textId="77777777" w:rsidR="00BE13B7" w:rsidRPr="00BE13B7" w:rsidRDefault="00BE13B7" w:rsidP="00BE13B7">
            <w:pPr>
              <w:spacing w:line="240" w:lineRule="auto"/>
              <w:jc w:val="center"/>
              <w:rPr>
                <w:rFonts w:ascii="Calibri" w:eastAsia="Times New Roman" w:hAnsi="Calibri"/>
                <w:b/>
                <w:bCs/>
                <w:sz w:val="22"/>
                <w:szCs w:val="22"/>
              </w:rPr>
            </w:pPr>
            <w:r w:rsidRPr="00BE13B7">
              <w:rPr>
                <w:rFonts w:ascii="Calibri" w:eastAsia="Times New Roman" w:hAnsi="Calibri"/>
                <w:b/>
                <w:bCs/>
                <w:sz w:val="22"/>
                <w:szCs w:val="22"/>
              </w:rPr>
              <w:t>1.35</w:t>
            </w:r>
          </w:p>
        </w:tc>
      </w:tr>
      <w:tr w:rsidR="00BE13B7" w:rsidRPr="00BE13B7" w14:paraId="6B772962" w14:textId="77777777" w:rsidTr="00BE13B7">
        <w:trPr>
          <w:trHeight w:val="402"/>
          <w:jc w:val="center"/>
        </w:trPr>
        <w:tc>
          <w:tcPr>
            <w:tcW w:w="4451" w:type="dxa"/>
            <w:tcBorders>
              <w:top w:val="nil"/>
              <w:left w:val="double" w:sz="6" w:space="0" w:color="auto"/>
              <w:bottom w:val="single" w:sz="4" w:space="0" w:color="auto"/>
              <w:right w:val="single" w:sz="4" w:space="0" w:color="auto"/>
            </w:tcBorders>
            <w:shd w:val="clear" w:color="000000" w:fill="9BC2E6"/>
            <w:noWrap/>
            <w:vAlign w:val="center"/>
            <w:hideMark/>
          </w:tcPr>
          <w:p w14:paraId="4EAC398B" w14:textId="77777777" w:rsidR="00BE13B7" w:rsidRPr="00BE13B7" w:rsidRDefault="00BE13B7" w:rsidP="00BE13B7">
            <w:pPr>
              <w:spacing w:line="240" w:lineRule="auto"/>
              <w:jc w:val="center"/>
              <w:rPr>
                <w:rFonts w:ascii="Calibri" w:eastAsia="Times New Roman" w:hAnsi="Calibri"/>
                <w:sz w:val="22"/>
                <w:szCs w:val="22"/>
              </w:rPr>
            </w:pPr>
            <w:r w:rsidRPr="00BE13B7">
              <w:rPr>
                <w:rFonts w:ascii="Calibri" w:eastAsia="Times New Roman" w:hAnsi="Calibri"/>
                <w:sz w:val="22"/>
                <w:szCs w:val="22"/>
              </w:rPr>
              <w:t>Aerator energy use (kWh/month)</w:t>
            </w:r>
          </w:p>
        </w:tc>
        <w:tc>
          <w:tcPr>
            <w:tcW w:w="949" w:type="dxa"/>
            <w:tcBorders>
              <w:top w:val="nil"/>
              <w:left w:val="nil"/>
              <w:bottom w:val="single" w:sz="4" w:space="0" w:color="auto"/>
              <w:right w:val="double" w:sz="6" w:space="0" w:color="auto"/>
            </w:tcBorders>
            <w:shd w:val="clear" w:color="000000" w:fill="DDEBF7"/>
            <w:noWrap/>
            <w:vAlign w:val="center"/>
            <w:hideMark/>
          </w:tcPr>
          <w:p w14:paraId="40287757" w14:textId="77777777" w:rsidR="00BE13B7" w:rsidRPr="00BE13B7" w:rsidRDefault="00BE13B7" w:rsidP="00BE13B7">
            <w:pPr>
              <w:spacing w:line="240" w:lineRule="auto"/>
              <w:jc w:val="center"/>
              <w:rPr>
                <w:rFonts w:ascii="Calibri" w:eastAsia="Times New Roman" w:hAnsi="Calibri"/>
                <w:b/>
                <w:bCs/>
                <w:sz w:val="22"/>
                <w:szCs w:val="22"/>
              </w:rPr>
            </w:pPr>
            <w:r w:rsidRPr="00BE13B7">
              <w:rPr>
                <w:rFonts w:ascii="Calibri" w:eastAsia="Times New Roman" w:hAnsi="Calibri"/>
                <w:b/>
                <w:bCs/>
                <w:sz w:val="22"/>
                <w:szCs w:val="22"/>
              </w:rPr>
              <w:t>83,538</w:t>
            </w:r>
          </w:p>
        </w:tc>
      </w:tr>
      <w:tr w:rsidR="00BE13B7" w:rsidRPr="00BE13B7" w14:paraId="50C5A16E" w14:textId="77777777" w:rsidTr="00BE13B7">
        <w:trPr>
          <w:trHeight w:val="402"/>
          <w:jc w:val="center"/>
        </w:trPr>
        <w:tc>
          <w:tcPr>
            <w:tcW w:w="4451" w:type="dxa"/>
            <w:tcBorders>
              <w:top w:val="nil"/>
              <w:left w:val="double" w:sz="6" w:space="0" w:color="auto"/>
              <w:bottom w:val="double" w:sz="6" w:space="0" w:color="auto"/>
              <w:right w:val="single" w:sz="4" w:space="0" w:color="auto"/>
            </w:tcBorders>
            <w:shd w:val="clear" w:color="000000" w:fill="9BC2E6"/>
            <w:noWrap/>
            <w:vAlign w:val="center"/>
            <w:hideMark/>
          </w:tcPr>
          <w:p w14:paraId="557B7A34" w14:textId="77777777" w:rsidR="00BE13B7" w:rsidRPr="00BE13B7" w:rsidRDefault="00BE13B7" w:rsidP="00BE13B7">
            <w:pPr>
              <w:spacing w:line="240" w:lineRule="auto"/>
              <w:jc w:val="center"/>
              <w:rPr>
                <w:rFonts w:ascii="Calibri" w:eastAsia="Times New Roman" w:hAnsi="Calibri"/>
                <w:sz w:val="22"/>
                <w:szCs w:val="22"/>
              </w:rPr>
            </w:pPr>
            <w:r w:rsidRPr="00BE13B7">
              <w:rPr>
                <w:rFonts w:ascii="Calibri" w:eastAsia="Times New Roman" w:hAnsi="Calibri"/>
                <w:sz w:val="22"/>
                <w:szCs w:val="22"/>
              </w:rPr>
              <w:t>Energy cost ($/month)</w:t>
            </w:r>
          </w:p>
        </w:tc>
        <w:tc>
          <w:tcPr>
            <w:tcW w:w="949" w:type="dxa"/>
            <w:tcBorders>
              <w:top w:val="nil"/>
              <w:left w:val="nil"/>
              <w:bottom w:val="double" w:sz="6" w:space="0" w:color="auto"/>
              <w:right w:val="double" w:sz="6" w:space="0" w:color="auto"/>
            </w:tcBorders>
            <w:shd w:val="clear" w:color="000000" w:fill="DDEBF7"/>
            <w:noWrap/>
            <w:vAlign w:val="center"/>
            <w:hideMark/>
          </w:tcPr>
          <w:p w14:paraId="7D0C026A" w14:textId="77777777" w:rsidR="00BE13B7" w:rsidRPr="00BE13B7" w:rsidRDefault="00BE13B7" w:rsidP="00BE13B7">
            <w:pPr>
              <w:spacing w:line="240" w:lineRule="auto"/>
              <w:jc w:val="center"/>
              <w:rPr>
                <w:rFonts w:ascii="Calibri" w:eastAsia="Times New Roman" w:hAnsi="Calibri"/>
                <w:b/>
                <w:bCs/>
                <w:sz w:val="22"/>
                <w:szCs w:val="22"/>
              </w:rPr>
            </w:pPr>
            <w:r w:rsidRPr="00BE13B7">
              <w:rPr>
                <w:rFonts w:ascii="Calibri" w:eastAsia="Times New Roman" w:hAnsi="Calibri"/>
                <w:b/>
                <w:bCs/>
                <w:sz w:val="22"/>
                <w:szCs w:val="22"/>
              </w:rPr>
              <w:t>4,595</w:t>
            </w:r>
          </w:p>
        </w:tc>
      </w:tr>
    </w:tbl>
    <w:p w14:paraId="1C37C121" w14:textId="77777777" w:rsidR="00BE13B7" w:rsidRDefault="00BE13B7" w:rsidP="00CB3C92"/>
    <w:p w14:paraId="21F8C28B" w14:textId="77777777" w:rsidR="00BE13B7" w:rsidRDefault="00BE13B7" w:rsidP="00CB3C92"/>
    <w:p w14:paraId="5F4C00C5" w14:textId="77777777" w:rsidR="00BE13B7" w:rsidRDefault="00BE13B7" w:rsidP="00CB3C92"/>
    <w:p w14:paraId="01C68134" w14:textId="1A94C20B" w:rsidR="00BE13B7" w:rsidRDefault="00BE13B7" w:rsidP="00CB3C92">
      <w:r>
        <w:t xml:space="preserve">The </w:t>
      </w:r>
      <w:r>
        <w:rPr>
          <w:b/>
        </w:rPr>
        <w:t>field OTR (</w:t>
      </w:r>
      <w:proofErr w:type="spellStart"/>
      <w:r>
        <w:rPr>
          <w:b/>
        </w:rPr>
        <w:t>lb</w:t>
      </w:r>
      <w:proofErr w:type="spellEnd"/>
      <w:r>
        <w:rPr>
          <w:b/>
        </w:rPr>
        <w:t xml:space="preserve"> O2 / </w:t>
      </w:r>
      <w:proofErr w:type="spellStart"/>
      <w:r>
        <w:rPr>
          <w:b/>
        </w:rPr>
        <w:t>hp-hr</w:t>
      </w:r>
      <w:proofErr w:type="spellEnd"/>
      <w:r>
        <w:rPr>
          <w:b/>
        </w:rPr>
        <w:t>)</w:t>
      </w:r>
      <w:r>
        <w:t xml:space="preserve"> </w:t>
      </w:r>
      <w:r w:rsidR="00EC5038">
        <w:t xml:space="preserve">is the actual oxygen transfer rate of the specified aeration equipment for the existing operating conditions. In this example, the </w:t>
      </w:r>
      <w:r w:rsidR="00EC5038" w:rsidRPr="00EC5038">
        <w:rPr>
          <w:b/>
        </w:rPr>
        <w:t>field OTR</w:t>
      </w:r>
      <w:r w:rsidR="00EC5038">
        <w:t xml:space="preserve"> is low because the operating DO concentration is 3.5 mg/L for existing conditions. As discussed above, the aerator efficiency is 24% lower than if the operating DO concentration was 2.0 mg/L.</w:t>
      </w:r>
    </w:p>
    <w:p w14:paraId="57E4E754" w14:textId="77777777" w:rsidR="00EC5038" w:rsidRDefault="00EC5038" w:rsidP="00CB3C92"/>
    <w:p w14:paraId="038B585D" w14:textId="62B40816" w:rsidR="00EC5038" w:rsidRDefault="00EC5038" w:rsidP="00CB3C92">
      <w:r>
        <w:t xml:space="preserve">The total </w:t>
      </w:r>
      <w:r>
        <w:rPr>
          <w:b/>
        </w:rPr>
        <w:t>aerator energy use (kWh/month)</w:t>
      </w:r>
      <w:r>
        <w:t xml:space="preserve"> is almost 84,000 kWh/month for the example input data at </w:t>
      </w:r>
      <w:r w:rsidRPr="00EC5038">
        <w:rPr>
          <w:i/>
        </w:rPr>
        <w:t>existing conditions</w:t>
      </w:r>
      <w:r>
        <w:t xml:space="preserve">. The </w:t>
      </w:r>
      <w:r>
        <w:rPr>
          <w:b/>
        </w:rPr>
        <w:t>energy cost ($/month)</w:t>
      </w:r>
      <w:r w:rsidR="00890403">
        <w:t xml:space="preserve"> for the example input data at </w:t>
      </w:r>
      <w:r w:rsidR="00890403" w:rsidRPr="00890403">
        <w:rPr>
          <w:i/>
        </w:rPr>
        <w:t>existing conditions</w:t>
      </w:r>
      <w:r w:rsidR="00890403">
        <w:t xml:space="preserve"> is about $4600/month. </w:t>
      </w:r>
    </w:p>
    <w:p w14:paraId="078D5246" w14:textId="77777777" w:rsidR="003078B4" w:rsidRDefault="003078B4" w:rsidP="00CB3C92"/>
    <w:p w14:paraId="539A064B" w14:textId="0C1CDC06" w:rsidR="003078B4" w:rsidRDefault="003078B4" w:rsidP="00CB3C92">
      <w:r>
        <w:t xml:space="preserve">The input data for the aeration equipment for this example for the </w:t>
      </w:r>
      <w:r w:rsidRPr="00890403">
        <w:rPr>
          <w:i/>
        </w:rPr>
        <w:t>alternate scenario</w:t>
      </w:r>
      <w:r w:rsidR="00584ADC">
        <w:t xml:space="preserve"> are</w:t>
      </w:r>
      <w:bookmarkStart w:id="0" w:name="_GoBack"/>
      <w:bookmarkEnd w:id="0"/>
      <w:r>
        <w:t xml:space="preserve"> shown below.</w:t>
      </w:r>
    </w:p>
    <w:p w14:paraId="557D5E31" w14:textId="77777777" w:rsidR="003078B4" w:rsidRDefault="003078B4" w:rsidP="00CB3C92"/>
    <w:tbl>
      <w:tblPr>
        <w:tblW w:w="4880" w:type="dxa"/>
        <w:jc w:val="center"/>
        <w:tblLook w:val="04A0" w:firstRow="1" w:lastRow="0" w:firstColumn="1" w:lastColumn="0" w:noHBand="0" w:noVBand="1"/>
      </w:tblPr>
      <w:tblGrid>
        <w:gridCol w:w="4183"/>
        <w:gridCol w:w="721"/>
      </w:tblGrid>
      <w:tr w:rsidR="003078B4" w:rsidRPr="003078B4" w14:paraId="45240A18" w14:textId="77777777" w:rsidTr="003078B4">
        <w:trPr>
          <w:trHeight w:val="402"/>
          <w:jc w:val="center"/>
        </w:trPr>
        <w:tc>
          <w:tcPr>
            <w:tcW w:w="4880" w:type="dxa"/>
            <w:gridSpan w:val="2"/>
            <w:vMerge w:val="restart"/>
            <w:tcBorders>
              <w:top w:val="double" w:sz="6" w:space="0" w:color="auto"/>
              <w:left w:val="double" w:sz="6" w:space="0" w:color="auto"/>
              <w:bottom w:val="single" w:sz="8" w:space="0" w:color="000000"/>
              <w:right w:val="double" w:sz="6" w:space="0" w:color="000000"/>
            </w:tcBorders>
            <w:shd w:val="clear" w:color="000000" w:fill="2F75B5"/>
            <w:noWrap/>
            <w:vAlign w:val="center"/>
            <w:hideMark/>
          </w:tcPr>
          <w:p w14:paraId="48FA4B35" w14:textId="77777777" w:rsidR="003078B4" w:rsidRPr="003078B4" w:rsidRDefault="003078B4" w:rsidP="003078B4">
            <w:pPr>
              <w:spacing w:line="240" w:lineRule="auto"/>
              <w:jc w:val="center"/>
              <w:rPr>
                <w:rFonts w:ascii="Calibri" w:eastAsia="Times New Roman" w:hAnsi="Calibri"/>
                <w:b/>
                <w:bCs/>
                <w:color w:val="FFFFFF"/>
              </w:rPr>
            </w:pPr>
            <w:r w:rsidRPr="003078B4">
              <w:rPr>
                <w:rFonts w:ascii="Calibri" w:eastAsia="Times New Roman" w:hAnsi="Calibri"/>
                <w:b/>
                <w:bCs/>
                <w:color w:val="FFFFFF"/>
              </w:rPr>
              <w:t xml:space="preserve">Aerator Performance Data </w:t>
            </w:r>
          </w:p>
        </w:tc>
      </w:tr>
      <w:tr w:rsidR="003078B4" w:rsidRPr="003078B4" w14:paraId="3A7C31B8" w14:textId="77777777" w:rsidTr="003078B4">
        <w:trPr>
          <w:trHeight w:val="402"/>
          <w:jc w:val="center"/>
        </w:trPr>
        <w:tc>
          <w:tcPr>
            <w:tcW w:w="4880" w:type="dxa"/>
            <w:gridSpan w:val="2"/>
            <w:vMerge/>
            <w:tcBorders>
              <w:top w:val="double" w:sz="6" w:space="0" w:color="auto"/>
              <w:left w:val="double" w:sz="6" w:space="0" w:color="auto"/>
              <w:bottom w:val="single" w:sz="8" w:space="0" w:color="000000"/>
              <w:right w:val="double" w:sz="6" w:space="0" w:color="000000"/>
            </w:tcBorders>
            <w:vAlign w:val="center"/>
            <w:hideMark/>
          </w:tcPr>
          <w:p w14:paraId="12A40C65" w14:textId="77777777" w:rsidR="003078B4" w:rsidRPr="003078B4" w:rsidRDefault="003078B4" w:rsidP="003078B4">
            <w:pPr>
              <w:spacing w:line="240" w:lineRule="auto"/>
              <w:rPr>
                <w:rFonts w:ascii="Calibri" w:eastAsia="Times New Roman" w:hAnsi="Calibri"/>
                <w:b/>
                <w:bCs/>
                <w:color w:val="FFFFFF"/>
              </w:rPr>
            </w:pPr>
          </w:p>
        </w:tc>
      </w:tr>
      <w:tr w:rsidR="003078B4" w:rsidRPr="003078B4" w14:paraId="4B72ED39" w14:textId="77777777" w:rsidTr="003078B4">
        <w:trPr>
          <w:trHeight w:val="402"/>
          <w:jc w:val="center"/>
        </w:trPr>
        <w:tc>
          <w:tcPr>
            <w:tcW w:w="4183" w:type="dxa"/>
            <w:tcBorders>
              <w:top w:val="nil"/>
              <w:left w:val="double" w:sz="6" w:space="0" w:color="auto"/>
              <w:bottom w:val="single" w:sz="4" w:space="0" w:color="auto"/>
              <w:right w:val="single" w:sz="4" w:space="0" w:color="auto"/>
            </w:tcBorders>
            <w:shd w:val="clear" w:color="000000" w:fill="9BC2E6"/>
            <w:noWrap/>
            <w:vAlign w:val="center"/>
            <w:hideMark/>
          </w:tcPr>
          <w:p w14:paraId="498C2E12" w14:textId="77777777" w:rsidR="003078B4" w:rsidRPr="003078B4" w:rsidRDefault="003078B4" w:rsidP="003078B4">
            <w:pPr>
              <w:spacing w:line="240" w:lineRule="auto"/>
              <w:jc w:val="center"/>
              <w:rPr>
                <w:rFonts w:ascii="Calibri" w:eastAsia="Times New Roman" w:hAnsi="Calibri"/>
                <w:sz w:val="22"/>
                <w:szCs w:val="22"/>
              </w:rPr>
            </w:pPr>
            <w:r w:rsidRPr="003078B4">
              <w:rPr>
                <w:rFonts w:ascii="Calibri" w:eastAsia="Times New Roman" w:hAnsi="Calibri"/>
                <w:sz w:val="22"/>
                <w:szCs w:val="22"/>
              </w:rPr>
              <w:t>Operating DO concentration (mg/L)</w:t>
            </w:r>
          </w:p>
        </w:tc>
        <w:tc>
          <w:tcPr>
            <w:tcW w:w="697" w:type="dxa"/>
            <w:tcBorders>
              <w:top w:val="nil"/>
              <w:left w:val="nil"/>
              <w:bottom w:val="single" w:sz="4" w:space="0" w:color="auto"/>
              <w:right w:val="double" w:sz="6" w:space="0" w:color="auto"/>
            </w:tcBorders>
            <w:shd w:val="clear" w:color="000000" w:fill="DDEBF7"/>
            <w:noWrap/>
            <w:vAlign w:val="center"/>
            <w:hideMark/>
          </w:tcPr>
          <w:p w14:paraId="21D0344B" w14:textId="77777777" w:rsidR="003078B4" w:rsidRPr="003078B4" w:rsidRDefault="003078B4" w:rsidP="003078B4">
            <w:pPr>
              <w:spacing w:line="240" w:lineRule="auto"/>
              <w:jc w:val="center"/>
              <w:rPr>
                <w:rFonts w:ascii="Calibri" w:eastAsia="Times New Roman" w:hAnsi="Calibri"/>
                <w:b/>
                <w:bCs/>
                <w:sz w:val="22"/>
                <w:szCs w:val="22"/>
              </w:rPr>
            </w:pPr>
            <w:r w:rsidRPr="003078B4">
              <w:rPr>
                <w:rFonts w:ascii="Calibri" w:eastAsia="Times New Roman" w:hAnsi="Calibri"/>
                <w:b/>
                <w:bCs/>
                <w:sz w:val="22"/>
                <w:szCs w:val="22"/>
              </w:rPr>
              <w:t>2</w:t>
            </w:r>
          </w:p>
        </w:tc>
      </w:tr>
      <w:tr w:rsidR="003078B4" w:rsidRPr="003078B4" w14:paraId="3C915D85" w14:textId="77777777" w:rsidTr="003078B4">
        <w:trPr>
          <w:trHeight w:val="402"/>
          <w:jc w:val="center"/>
        </w:trPr>
        <w:tc>
          <w:tcPr>
            <w:tcW w:w="4183" w:type="dxa"/>
            <w:tcBorders>
              <w:top w:val="nil"/>
              <w:left w:val="double" w:sz="6" w:space="0" w:color="auto"/>
              <w:bottom w:val="single" w:sz="4" w:space="0" w:color="auto"/>
              <w:right w:val="single" w:sz="4" w:space="0" w:color="auto"/>
            </w:tcBorders>
            <w:shd w:val="clear" w:color="000000" w:fill="9BC2E6"/>
            <w:noWrap/>
            <w:vAlign w:val="center"/>
            <w:hideMark/>
          </w:tcPr>
          <w:p w14:paraId="13038498" w14:textId="77777777" w:rsidR="003078B4" w:rsidRPr="003078B4" w:rsidRDefault="003078B4" w:rsidP="003078B4">
            <w:pPr>
              <w:spacing w:line="240" w:lineRule="auto"/>
              <w:jc w:val="center"/>
              <w:rPr>
                <w:rFonts w:ascii="Calibri" w:eastAsia="Times New Roman" w:hAnsi="Calibri"/>
                <w:sz w:val="22"/>
                <w:szCs w:val="22"/>
              </w:rPr>
            </w:pPr>
            <w:r w:rsidRPr="003078B4">
              <w:rPr>
                <w:rFonts w:ascii="Calibri" w:eastAsia="Times New Roman" w:hAnsi="Calibri"/>
                <w:sz w:val="22"/>
                <w:szCs w:val="22"/>
              </w:rPr>
              <w:t>alpha</w:t>
            </w:r>
          </w:p>
        </w:tc>
        <w:tc>
          <w:tcPr>
            <w:tcW w:w="697" w:type="dxa"/>
            <w:tcBorders>
              <w:top w:val="nil"/>
              <w:left w:val="nil"/>
              <w:bottom w:val="single" w:sz="4" w:space="0" w:color="auto"/>
              <w:right w:val="double" w:sz="6" w:space="0" w:color="auto"/>
            </w:tcBorders>
            <w:shd w:val="clear" w:color="000000" w:fill="DDEBF7"/>
            <w:noWrap/>
            <w:vAlign w:val="center"/>
            <w:hideMark/>
          </w:tcPr>
          <w:p w14:paraId="09026961" w14:textId="77777777" w:rsidR="003078B4" w:rsidRPr="003078B4" w:rsidRDefault="003078B4" w:rsidP="003078B4">
            <w:pPr>
              <w:spacing w:line="240" w:lineRule="auto"/>
              <w:jc w:val="center"/>
              <w:rPr>
                <w:rFonts w:ascii="Calibri" w:eastAsia="Times New Roman" w:hAnsi="Calibri"/>
                <w:b/>
                <w:bCs/>
                <w:sz w:val="22"/>
                <w:szCs w:val="22"/>
              </w:rPr>
            </w:pPr>
            <w:r w:rsidRPr="003078B4">
              <w:rPr>
                <w:rFonts w:ascii="Calibri" w:eastAsia="Times New Roman" w:hAnsi="Calibri"/>
                <w:b/>
                <w:bCs/>
                <w:sz w:val="22"/>
                <w:szCs w:val="22"/>
              </w:rPr>
              <w:t>0.84</w:t>
            </w:r>
          </w:p>
        </w:tc>
      </w:tr>
      <w:tr w:rsidR="003078B4" w:rsidRPr="003078B4" w14:paraId="7E7E90D1" w14:textId="77777777" w:rsidTr="003078B4">
        <w:trPr>
          <w:trHeight w:val="402"/>
          <w:jc w:val="center"/>
        </w:trPr>
        <w:tc>
          <w:tcPr>
            <w:tcW w:w="4183" w:type="dxa"/>
            <w:tcBorders>
              <w:top w:val="nil"/>
              <w:left w:val="double" w:sz="6" w:space="0" w:color="auto"/>
              <w:bottom w:val="single" w:sz="4" w:space="0" w:color="auto"/>
              <w:right w:val="single" w:sz="4" w:space="0" w:color="auto"/>
            </w:tcBorders>
            <w:shd w:val="clear" w:color="000000" w:fill="9BC2E6"/>
            <w:noWrap/>
            <w:vAlign w:val="center"/>
            <w:hideMark/>
          </w:tcPr>
          <w:p w14:paraId="2FBD8265" w14:textId="77777777" w:rsidR="003078B4" w:rsidRPr="003078B4" w:rsidRDefault="003078B4" w:rsidP="003078B4">
            <w:pPr>
              <w:spacing w:line="240" w:lineRule="auto"/>
              <w:jc w:val="center"/>
              <w:rPr>
                <w:rFonts w:ascii="Calibri" w:eastAsia="Times New Roman" w:hAnsi="Calibri"/>
                <w:sz w:val="22"/>
                <w:szCs w:val="22"/>
              </w:rPr>
            </w:pPr>
            <w:r w:rsidRPr="003078B4">
              <w:rPr>
                <w:rFonts w:ascii="Calibri" w:eastAsia="Times New Roman" w:hAnsi="Calibri"/>
                <w:sz w:val="22"/>
                <w:szCs w:val="22"/>
              </w:rPr>
              <w:t>beta</w:t>
            </w:r>
          </w:p>
        </w:tc>
        <w:tc>
          <w:tcPr>
            <w:tcW w:w="697" w:type="dxa"/>
            <w:tcBorders>
              <w:top w:val="nil"/>
              <w:left w:val="nil"/>
              <w:bottom w:val="single" w:sz="4" w:space="0" w:color="auto"/>
              <w:right w:val="double" w:sz="6" w:space="0" w:color="auto"/>
            </w:tcBorders>
            <w:shd w:val="clear" w:color="000000" w:fill="DDEBF7"/>
            <w:noWrap/>
            <w:vAlign w:val="center"/>
            <w:hideMark/>
          </w:tcPr>
          <w:p w14:paraId="144036AF" w14:textId="77777777" w:rsidR="003078B4" w:rsidRPr="003078B4" w:rsidRDefault="003078B4" w:rsidP="003078B4">
            <w:pPr>
              <w:spacing w:line="240" w:lineRule="auto"/>
              <w:jc w:val="center"/>
              <w:rPr>
                <w:rFonts w:ascii="Calibri" w:eastAsia="Times New Roman" w:hAnsi="Calibri"/>
                <w:b/>
                <w:bCs/>
                <w:sz w:val="22"/>
                <w:szCs w:val="22"/>
              </w:rPr>
            </w:pPr>
            <w:r w:rsidRPr="003078B4">
              <w:rPr>
                <w:rFonts w:ascii="Calibri" w:eastAsia="Times New Roman" w:hAnsi="Calibri"/>
                <w:b/>
                <w:bCs/>
                <w:sz w:val="22"/>
                <w:szCs w:val="22"/>
              </w:rPr>
              <w:t>0.92</w:t>
            </w:r>
          </w:p>
        </w:tc>
      </w:tr>
      <w:tr w:rsidR="003078B4" w:rsidRPr="003078B4" w14:paraId="60F61A56" w14:textId="77777777" w:rsidTr="003078B4">
        <w:trPr>
          <w:trHeight w:val="402"/>
          <w:jc w:val="center"/>
        </w:trPr>
        <w:tc>
          <w:tcPr>
            <w:tcW w:w="4183" w:type="dxa"/>
            <w:tcBorders>
              <w:top w:val="nil"/>
              <w:left w:val="double" w:sz="6" w:space="0" w:color="auto"/>
              <w:bottom w:val="single" w:sz="4" w:space="0" w:color="auto"/>
              <w:right w:val="single" w:sz="4" w:space="0" w:color="auto"/>
            </w:tcBorders>
            <w:shd w:val="clear" w:color="000000" w:fill="9BC2E6"/>
            <w:noWrap/>
            <w:vAlign w:val="center"/>
            <w:hideMark/>
          </w:tcPr>
          <w:p w14:paraId="5886996F" w14:textId="77777777" w:rsidR="003078B4" w:rsidRPr="003078B4" w:rsidRDefault="003078B4" w:rsidP="003078B4">
            <w:pPr>
              <w:spacing w:line="240" w:lineRule="auto"/>
              <w:jc w:val="center"/>
              <w:rPr>
                <w:rFonts w:ascii="Calibri" w:eastAsia="Times New Roman" w:hAnsi="Calibri"/>
                <w:sz w:val="22"/>
                <w:szCs w:val="22"/>
              </w:rPr>
            </w:pPr>
            <w:r w:rsidRPr="003078B4">
              <w:rPr>
                <w:rFonts w:ascii="Calibri" w:eastAsia="Times New Roman" w:hAnsi="Calibri"/>
                <w:sz w:val="22"/>
                <w:szCs w:val="22"/>
              </w:rPr>
              <w:t xml:space="preserve">SOTR, </w:t>
            </w:r>
            <w:proofErr w:type="spellStart"/>
            <w:r w:rsidRPr="003078B4">
              <w:rPr>
                <w:rFonts w:ascii="Calibri" w:eastAsia="Times New Roman" w:hAnsi="Calibri"/>
                <w:sz w:val="22"/>
                <w:szCs w:val="22"/>
              </w:rPr>
              <w:t>lb</w:t>
            </w:r>
            <w:proofErr w:type="spellEnd"/>
            <w:r w:rsidRPr="003078B4">
              <w:rPr>
                <w:rFonts w:ascii="Calibri" w:eastAsia="Times New Roman" w:hAnsi="Calibri"/>
                <w:sz w:val="22"/>
                <w:szCs w:val="22"/>
              </w:rPr>
              <w:t xml:space="preserve"> O2 / </w:t>
            </w:r>
            <w:proofErr w:type="spellStart"/>
            <w:r w:rsidRPr="003078B4">
              <w:rPr>
                <w:rFonts w:ascii="Calibri" w:eastAsia="Times New Roman" w:hAnsi="Calibri"/>
                <w:sz w:val="22"/>
                <w:szCs w:val="22"/>
              </w:rPr>
              <w:t>hp-hr</w:t>
            </w:r>
            <w:proofErr w:type="spellEnd"/>
          </w:p>
        </w:tc>
        <w:tc>
          <w:tcPr>
            <w:tcW w:w="697" w:type="dxa"/>
            <w:tcBorders>
              <w:top w:val="nil"/>
              <w:left w:val="nil"/>
              <w:bottom w:val="single" w:sz="4" w:space="0" w:color="auto"/>
              <w:right w:val="double" w:sz="6" w:space="0" w:color="auto"/>
            </w:tcBorders>
            <w:shd w:val="clear" w:color="000000" w:fill="DDEBF7"/>
            <w:noWrap/>
            <w:vAlign w:val="center"/>
            <w:hideMark/>
          </w:tcPr>
          <w:p w14:paraId="3EB92CBD" w14:textId="77777777" w:rsidR="003078B4" w:rsidRPr="003078B4" w:rsidRDefault="003078B4" w:rsidP="003078B4">
            <w:pPr>
              <w:spacing w:line="240" w:lineRule="auto"/>
              <w:jc w:val="center"/>
              <w:rPr>
                <w:rFonts w:ascii="Calibri" w:eastAsia="Times New Roman" w:hAnsi="Calibri"/>
                <w:b/>
                <w:bCs/>
                <w:sz w:val="22"/>
                <w:szCs w:val="22"/>
              </w:rPr>
            </w:pPr>
            <w:r w:rsidRPr="003078B4">
              <w:rPr>
                <w:rFonts w:ascii="Calibri" w:eastAsia="Times New Roman" w:hAnsi="Calibri"/>
                <w:b/>
                <w:bCs/>
                <w:sz w:val="22"/>
                <w:szCs w:val="22"/>
              </w:rPr>
              <w:t>3.1</w:t>
            </w:r>
          </w:p>
        </w:tc>
      </w:tr>
      <w:tr w:rsidR="003078B4" w:rsidRPr="003078B4" w14:paraId="7CC8CFC6" w14:textId="77777777" w:rsidTr="003078B4">
        <w:trPr>
          <w:trHeight w:val="402"/>
          <w:jc w:val="center"/>
        </w:trPr>
        <w:tc>
          <w:tcPr>
            <w:tcW w:w="4183" w:type="dxa"/>
            <w:tcBorders>
              <w:top w:val="nil"/>
              <w:left w:val="double" w:sz="6" w:space="0" w:color="auto"/>
              <w:bottom w:val="single" w:sz="4" w:space="0" w:color="auto"/>
              <w:right w:val="single" w:sz="4" w:space="0" w:color="auto"/>
            </w:tcBorders>
            <w:shd w:val="clear" w:color="000000" w:fill="9BC2E6"/>
            <w:noWrap/>
            <w:vAlign w:val="center"/>
            <w:hideMark/>
          </w:tcPr>
          <w:p w14:paraId="5C5D409D" w14:textId="77777777" w:rsidR="003078B4" w:rsidRPr="003078B4" w:rsidRDefault="003078B4" w:rsidP="003078B4">
            <w:pPr>
              <w:spacing w:line="240" w:lineRule="auto"/>
              <w:jc w:val="center"/>
              <w:rPr>
                <w:rFonts w:ascii="Calibri" w:eastAsia="Times New Roman" w:hAnsi="Calibri"/>
                <w:sz w:val="22"/>
                <w:szCs w:val="22"/>
              </w:rPr>
            </w:pPr>
            <w:r w:rsidRPr="003078B4">
              <w:rPr>
                <w:rFonts w:ascii="Calibri" w:eastAsia="Times New Roman" w:hAnsi="Calibri"/>
                <w:sz w:val="22"/>
                <w:szCs w:val="22"/>
              </w:rPr>
              <w:t>Temperature (°C)</w:t>
            </w:r>
          </w:p>
        </w:tc>
        <w:tc>
          <w:tcPr>
            <w:tcW w:w="697" w:type="dxa"/>
            <w:tcBorders>
              <w:top w:val="nil"/>
              <w:left w:val="nil"/>
              <w:bottom w:val="single" w:sz="4" w:space="0" w:color="auto"/>
              <w:right w:val="double" w:sz="6" w:space="0" w:color="auto"/>
            </w:tcBorders>
            <w:shd w:val="clear" w:color="000000" w:fill="DDEBF7"/>
            <w:noWrap/>
            <w:vAlign w:val="center"/>
            <w:hideMark/>
          </w:tcPr>
          <w:p w14:paraId="0084AC0B" w14:textId="77777777" w:rsidR="003078B4" w:rsidRPr="003078B4" w:rsidRDefault="003078B4" w:rsidP="003078B4">
            <w:pPr>
              <w:spacing w:line="240" w:lineRule="auto"/>
              <w:jc w:val="center"/>
              <w:rPr>
                <w:rFonts w:ascii="Calibri" w:eastAsia="Times New Roman" w:hAnsi="Calibri"/>
                <w:b/>
                <w:bCs/>
                <w:sz w:val="22"/>
                <w:szCs w:val="22"/>
              </w:rPr>
            </w:pPr>
            <w:r w:rsidRPr="003078B4">
              <w:rPr>
                <w:rFonts w:ascii="Calibri" w:eastAsia="Times New Roman" w:hAnsi="Calibri"/>
                <w:b/>
                <w:bCs/>
                <w:sz w:val="22"/>
                <w:szCs w:val="22"/>
              </w:rPr>
              <w:t>20</w:t>
            </w:r>
          </w:p>
        </w:tc>
      </w:tr>
      <w:tr w:rsidR="003078B4" w:rsidRPr="003078B4" w14:paraId="52ADCBA3" w14:textId="77777777" w:rsidTr="003078B4">
        <w:trPr>
          <w:trHeight w:val="402"/>
          <w:jc w:val="center"/>
        </w:trPr>
        <w:tc>
          <w:tcPr>
            <w:tcW w:w="4183" w:type="dxa"/>
            <w:tcBorders>
              <w:top w:val="nil"/>
              <w:left w:val="double" w:sz="6" w:space="0" w:color="auto"/>
              <w:bottom w:val="single" w:sz="4" w:space="0" w:color="auto"/>
              <w:right w:val="single" w:sz="4" w:space="0" w:color="auto"/>
            </w:tcBorders>
            <w:shd w:val="clear" w:color="000000" w:fill="9BC2E6"/>
            <w:noWrap/>
            <w:vAlign w:val="center"/>
            <w:hideMark/>
          </w:tcPr>
          <w:p w14:paraId="3ED7DE76" w14:textId="77777777" w:rsidR="003078B4" w:rsidRPr="003078B4" w:rsidRDefault="003078B4" w:rsidP="003078B4">
            <w:pPr>
              <w:spacing w:line="240" w:lineRule="auto"/>
              <w:jc w:val="center"/>
              <w:rPr>
                <w:rFonts w:ascii="Calibri" w:eastAsia="Times New Roman" w:hAnsi="Calibri"/>
                <w:sz w:val="22"/>
                <w:szCs w:val="22"/>
              </w:rPr>
            </w:pPr>
            <w:r w:rsidRPr="003078B4">
              <w:rPr>
                <w:rFonts w:ascii="Calibri" w:eastAsia="Times New Roman" w:hAnsi="Calibri"/>
                <w:sz w:val="22"/>
                <w:szCs w:val="22"/>
              </w:rPr>
              <w:t>Aeration (</w:t>
            </w:r>
            <w:proofErr w:type="spellStart"/>
            <w:r w:rsidRPr="003078B4">
              <w:rPr>
                <w:rFonts w:ascii="Calibri" w:eastAsia="Times New Roman" w:hAnsi="Calibri"/>
                <w:sz w:val="22"/>
                <w:szCs w:val="22"/>
              </w:rPr>
              <w:t>hp</w:t>
            </w:r>
            <w:proofErr w:type="spellEnd"/>
            <w:r w:rsidRPr="003078B4">
              <w:rPr>
                <w:rFonts w:ascii="Calibri" w:eastAsia="Times New Roman" w:hAnsi="Calibri"/>
                <w:sz w:val="22"/>
                <w:szCs w:val="22"/>
              </w:rPr>
              <w:t>) being operated</w:t>
            </w:r>
          </w:p>
        </w:tc>
        <w:tc>
          <w:tcPr>
            <w:tcW w:w="697" w:type="dxa"/>
            <w:tcBorders>
              <w:top w:val="nil"/>
              <w:left w:val="nil"/>
              <w:bottom w:val="single" w:sz="4" w:space="0" w:color="auto"/>
              <w:right w:val="double" w:sz="6" w:space="0" w:color="auto"/>
            </w:tcBorders>
            <w:shd w:val="clear" w:color="000000" w:fill="DDEBF7"/>
            <w:noWrap/>
            <w:vAlign w:val="center"/>
            <w:hideMark/>
          </w:tcPr>
          <w:p w14:paraId="7A7E19B9" w14:textId="77777777" w:rsidR="003078B4" w:rsidRPr="003078B4" w:rsidRDefault="003078B4" w:rsidP="003078B4">
            <w:pPr>
              <w:spacing w:line="240" w:lineRule="auto"/>
              <w:jc w:val="center"/>
              <w:rPr>
                <w:rFonts w:ascii="Calibri" w:eastAsia="Times New Roman" w:hAnsi="Calibri"/>
                <w:b/>
                <w:bCs/>
                <w:sz w:val="22"/>
                <w:szCs w:val="22"/>
              </w:rPr>
            </w:pPr>
            <w:r w:rsidRPr="003078B4">
              <w:rPr>
                <w:rFonts w:ascii="Calibri" w:eastAsia="Times New Roman" w:hAnsi="Calibri"/>
                <w:b/>
                <w:bCs/>
                <w:sz w:val="22"/>
                <w:szCs w:val="22"/>
              </w:rPr>
              <w:t>255</w:t>
            </w:r>
          </w:p>
        </w:tc>
      </w:tr>
      <w:tr w:rsidR="003078B4" w:rsidRPr="003078B4" w14:paraId="2BE48815" w14:textId="77777777" w:rsidTr="003078B4">
        <w:trPr>
          <w:trHeight w:val="402"/>
          <w:jc w:val="center"/>
        </w:trPr>
        <w:tc>
          <w:tcPr>
            <w:tcW w:w="4183" w:type="dxa"/>
            <w:tcBorders>
              <w:top w:val="nil"/>
              <w:left w:val="double" w:sz="6" w:space="0" w:color="auto"/>
              <w:bottom w:val="single" w:sz="4" w:space="0" w:color="auto"/>
              <w:right w:val="single" w:sz="4" w:space="0" w:color="auto"/>
            </w:tcBorders>
            <w:shd w:val="clear" w:color="000000" w:fill="9BC2E6"/>
            <w:noWrap/>
            <w:vAlign w:val="center"/>
            <w:hideMark/>
          </w:tcPr>
          <w:p w14:paraId="706A08C0" w14:textId="77777777" w:rsidR="003078B4" w:rsidRPr="003078B4" w:rsidRDefault="003078B4" w:rsidP="003078B4">
            <w:pPr>
              <w:spacing w:line="240" w:lineRule="auto"/>
              <w:jc w:val="center"/>
              <w:rPr>
                <w:rFonts w:ascii="Calibri" w:eastAsia="Times New Roman" w:hAnsi="Calibri"/>
                <w:sz w:val="22"/>
                <w:szCs w:val="22"/>
              </w:rPr>
            </w:pPr>
            <w:r w:rsidRPr="003078B4">
              <w:rPr>
                <w:rFonts w:ascii="Calibri" w:eastAsia="Times New Roman" w:hAnsi="Calibri"/>
                <w:sz w:val="22"/>
                <w:szCs w:val="22"/>
              </w:rPr>
              <w:t>Elevation (</w:t>
            </w:r>
            <w:proofErr w:type="spellStart"/>
            <w:r w:rsidRPr="003078B4">
              <w:rPr>
                <w:rFonts w:ascii="Calibri" w:eastAsia="Times New Roman" w:hAnsi="Calibri"/>
                <w:sz w:val="22"/>
                <w:szCs w:val="22"/>
              </w:rPr>
              <w:t>ft</w:t>
            </w:r>
            <w:proofErr w:type="spellEnd"/>
            <w:r w:rsidRPr="003078B4">
              <w:rPr>
                <w:rFonts w:ascii="Calibri" w:eastAsia="Times New Roman" w:hAnsi="Calibri"/>
                <w:sz w:val="22"/>
                <w:szCs w:val="22"/>
              </w:rPr>
              <w:t>)</w:t>
            </w:r>
          </w:p>
        </w:tc>
        <w:tc>
          <w:tcPr>
            <w:tcW w:w="697" w:type="dxa"/>
            <w:tcBorders>
              <w:top w:val="nil"/>
              <w:left w:val="nil"/>
              <w:bottom w:val="single" w:sz="4" w:space="0" w:color="auto"/>
              <w:right w:val="double" w:sz="6" w:space="0" w:color="auto"/>
            </w:tcBorders>
            <w:shd w:val="clear" w:color="000000" w:fill="DDEBF7"/>
            <w:noWrap/>
            <w:vAlign w:val="center"/>
            <w:hideMark/>
          </w:tcPr>
          <w:p w14:paraId="2EDE941A" w14:textId="77777777" w:rsidR="003078B4" w:rsidRPr="003078B4" w:rsidRDefault="003078B4" w:rsidP="003078B4">
            <w:pPr>
              <w:spacing w:line="240" w:lineRule="auto"/>
              <w:jc w:val="center"/>
              <w:rPr>
                <w:rFonts w:ascii="Calibri" w:eastAsia="Times New Roman" w:hAnsi="Calibri"/>
                <w:b/>
                <w:bCs/>
                <w:sz w:val="22"/>
                <w:szCs w:val="22"/>
              </w:rPr>
            </w:pPr>
            <w:r w:rsidRPr="003078B4">
              <w:rPr>
                <w:rFonts w:ascii="Calibri" w:eastAsia="Times New Roman" w:hAnsi="Calibri"/>
                <w:b/>
                <w:bCs/>
                <w:sz w:val="22"/>
                <w:szCs w:val="22"/>
              </w:rPr>
              <w:t>400</w:t>
            </w:r>
          </w:p>
        </w:tc>
      </w:tr>
      <w:tr w:rsidR="003078B4" w:rsidRPr="003078B4" w14:paraId="2C73E114" w14:textId="77777777" w:rsidTr="003078B4">
        <w:trPr>
          <w:trHeight w:val="402"/>
          <w:jc w:val="center"/>
        </w:trPr>
        <w:tc>
          <w:tcPr>
            <w:tcW w:w="4183" w:type="dxa"/>
            <w:tcBorders>
              <w:top w:val="nil"/>
              <w:left w:val="double" w:sz="6" w:space="0" w:color="auto"/>
              <w:bottom w:val="single" w:sz="4" w:space="0" w:color="auto"/>
              <w:right w:val="single" w:sz="4" w:space="0" w:color="auto"/>
            </w:tcBorders>
            <w:shd w:val="clear" w:color="000000" w:fill="9BC2E6"/>
            <w:noWrap/>
            <w:vAlign w:val="center"/>
            <w:hideMark/>
          </w:tcPr>
          <w:p w14:paraId="794550E9" w14:textId="77777777" w:rsidR="003078B4" w:rsidRPr="003078B4" w:rsidRDefault="003078B4" w:rsidP="003078B4">
            <w:pPr>
              <w:spacing w:line="240" w:lineRule="auto"/>
              <w:jc w:val="center"/>
              <w:rPr>
                <w:rFonts w:ascii="Calibri" w:eastAsia="Times New Roman" w:hAnsi="Calibri"/>
                <w:sz w:val="22"/>
                <w:szCs w:val="22"/>
              </w:rPr>
            </w:pPr>
            <w:r w:rsidRPr="003078B4">
              <w:rPr>
                <w:rFonts w:ascii="Calibri" w:eastAsia="Times New Roman" w:hAnsi="Calibri"/>
                <w:sz w:val="22"/>
                <w:szCs w:val="22"/>
              </w:rPr>
              <w:t>Aerators operating time (</w:t>
            </w:r>
            <w:proofErr w:type="spellStart"/>
            <w:r w:rsidRPr="003078B4">
              <w:rPr>
                <w:rFonts w:ascii="Calibri" w:eastAsia="Times New Roman" w:hAnsi="Calibri"/>
                <w:sz w:val="22"/>
                <w:szCs w:val="22"/>
              </w:rPr>
              <w:t>hr</w:t>
            </w:r>
            <w:proofErr w:type="spellEnd"/>
            <w:r w:rsidRPr="003078B4">
              <w:rPr>
                <w:rFonts w:ascii="Calibri" w:eastAsia="Times New Roman" w:hAnsi="Calibri"/>
                <w:sz w:val="22"/>
                <w:szCs w:val="22"/>
              </w:rPr>
              <w:t>/day)</w:t>
            </w:r>
          </w:p>
        </w:tc>
        <w:tc>
          <w:tcPr>
            <w:tcW w:w="697" w:type="dxa"/>
            <w:tcBorders>
              <w:top w:val="nil"/>
              <w:left w:val="nil"/>
              <w:bottom w:val="single" w:sz="4" w:space="0" w:color="auto"/>
              <w:right w:val="double" w:sz="6" w:space="0" w:color="auto"/>
            </w:tcBorders>
            <w:shd w:val="clear" w:color="000000" w:fill="DDEBF7"/>
            <w:noWrap/>
            <w:vAlign w:val="center"/>
            <w:hideMark/>
          </w:tcPr>
          <w:p w14:paraId="733DFF31" w14:textId="77777777" w:rsidR="003078B4" w:rsidRPr="003078B4" w:rsidRDefault="003078B4" w:rsidP="003078B4">
            <w:pPr>
              <w:spacing w:line="240" w:lineRule="auto"/>
              <w:jc w:val="center"/>
              <w:rPr>
                <w:rFonts w:ascii="Calibri" w:eastAsia="Times New Roman" w:hAnsi="Calibri"/>
                <w:b/>
                <w:bCs/>
                <w:sz w:val="22"/>
                <w:szCs w:val="22"/>
              </w:rPr>
            </w:pPr>
            <w:r w:rsidRPr="003078B4">
              <w:rPr>
                <w:rFonts w:ascii="Calibri" w:eastAsia="Times New Roman" w:hAnsi="Calibri"/>
                <w:b/>
                <w:bCs/>
                <w:sz w:val="22"/>
                <w:szCs w:val="22"/>
              </w:rPr>
              <w:t>20</w:t>
            </w:r>
          </w:p>
        </w:tc>
      </w:tr>
      <w:tr w:rsidR="003078B4" w:rsidRPr="003078B4" w14:paraId="377EEE5B" w14:textId="77777777" w:rsidTr="003078B4">
        <w:trPr>
          <w:trHeight w:val="402"/>
          <w:jc w:val="center"/>
        </w:trPr>
        <w:tc>
          <w:tcPr>
            <w:tcW w:w="4183" w:type="dxa"/>
            <w:tcBorders>
              <w:top w:val="nil"/>
              <w:left w:val="double" w:sz="6" w:space="0" w:color="auto"/>
              <w:bottom w:val="single" w:sz="4" w:space="0" w:color="auto"/>
              <w:right w:val="single" w:sz="4" w:space="0" w:color="auto"/>
            </w:tcBorders>
            <w:shd w:val="clear" w:color="000000" w:fill="9BC2E6"/>
            <w:noWrap/>
            <w:vAlign w:val="center"/>
            <w:hideMark/>
          </w:tcPr>
          <w:p w14:paraId="748E93DB" w14:textId="77777777" w:rsidR="003078B4" w:rsidRPr="003078B4" w:rsidRDefault="003078B4" w:rsidP="003078B4">
            <w:pPr>
              <w:spacing w:line="240" w:lineRule="auto"/>
              <w:jc w:val="center"/>
              <w:rPr>
                <w:rFonts w:ascii="Calibri" w:eastAsia="Times New Roman" w:hAnsi="Calibri"/>
                <w:sz w:val="22"/>
                <w:szCs w:val="22"/>
              </w:rPr>
            </w:pPr>
            <w:r w:rsidRPr="003078B4">
              <w:rPr>
                <w:rFonts w:ascii="Calibri" w:eastAsia="Times New Roman" w:hAnsi="Calibri"/>
                <w:sz w:val="22"/>
                <w:szCs w:val="22"/>
              </w:rPr>
              <w:t>Type of aerators (1, 2, or 3)</w:t>
            </w:r>
          </w:p>
        </w:tc>
        <w:tc>
          <w:tcPr>
            <w:tcW w:w="697" w:type="dxa"/>
            <w:tcBorders>
              <w:top w:val="nil"/>
              <w:left w:val="nil"/>
              <w:bottom w:val="single" w:sz="4" w:space="0" w:color="auto"/>
              <w:right w:val="double" w:sz="6" w:space="0" w:color="auto"/>
            </w:tcBorders>
            <w:shd w:val="clear" w:color="000000" w:fill="DDEBF7"/>
            <w:noWrap/>
            <w:vAlign w:val="center"/>
            <w:hideMark/>
          </w:tcPr>
          <w:p w14:paraId="1CCB1F5D" w14:textId="77777777" w:rsidR="003078B4" w:rsidRPr="003078B4" w:rsidRDefault="003078B4" w:rsidP="003078B4">
            <w:pPr>
              <w:spacing w:line="240" w:lineRule="auto"/>
              <w:jc w:val="center"/>
              <w:rPr>
                <w:rFonts w:ascii="Calibri" w:eastAsia="Times New Roman" w:hAnsi="Calibri"/>
                <w:b/>
                <w:bCs/>
                <w:sz w:val="22"/>
                <w:szCs w:val="22"/>
              </w:rPr>
            </w:pPr>
            <w:r w:rsidRPr="003078B4">
              <w:rPr>
                <w:rFonts w:ascii="Calibri" w:eastAsia="Times New Roman" w:hAnsi="Calibri"/>
                <w:b/>
                <w:bCs/>
                <w:sz w:val="22"/>
                <w:szCs w:val="22"/>
              </w:rPr>
              <w:t>2</w:t>
            </w:r>
          </w:p>
        </w:tc>
      </w:tr>
      <w:tr w:rsidR="003078B4" w:rsidRPr="003078B4" w14:paraId="60F6E8CE" w14:textId="77777777" w:rsidTr="003078B4">
        <w:trPr>
          <w:trHeight w:val="402"/>
          <w:jc w:val="center"/>
        </w:trPr>
        <w:tc>
          <w:tcPr>
            <w:tcW w:w="4183" w:type="dxa"/>
            <w:tcBorders>
              <w:top w:val="nil"/>
              <w:left w:val="double" w:sz="6" w:space="0" w:color="auto"/>
              <w:bottom w:val="single" w:sz="4" w:space="0" w:color="auto"/>
              <w:right w:val="single" w:sz="4" w:space="0" w:color="auto"/>
            </w:tcBorders>
            <w:shd w:val="clear" w:color="000000" w:fill="9BC2E6"/>
            <w:noWrap/>
            <w:vAlign w:val="center"/>
            <w:hideMark/>
          </w:tcPr>
          <w:p w14:paraId="1B8ADC0C" w14:textId="77777777" w:rsidR="003078B4" w:rsidRPr="003078B4" w:rsidRDefault="003078B4" w:rsidP="003078B4">
            <w:pPr>
              <w:spacing w:line="240" w:lineRule="auto"/>
              <w:jc w:val="center"/>
              <w:rPr>
                <w:rFonts w:ascii="Calibri" w:eastAsia="Times New Roman" w:hAnsi="Calibri"/>
                <w:sz w:val="22"/>
                <w:szCs w:val="22"/>
              </w:rPr>
            </w:pPr>
            <w:r w:rsidRPr="003078B4">
              <w:rPr>
                <w:rFonts w:ascii="Calibri" w:eastAsia="Times New Roman" w:hAnsi="Calibri"/>
                <w:sz w:val="22"/>
                <w:szCs w:val="22"/>
              </w:rPr>
              <w:t>Speed of aerators (%)</w:t>
            </w:r>
          </w:p>
        </w:tc>
        <w:tc>
          <w:tcPr>
            <w:tcW w:w="697" w:type="dxa"/>
            <w:tcBorders>
              <w:top w:val="nil"/>
              <w:left w:val="nil"/>
              <w:bottom w:val="single" w:sz="4" w:space="0" w:color="auto"/>
              <w:right w:val="double" w:sz="6" w:space="0" w:color="auto"/>
            </w:tcBorders>
            <w:shd w:val="clear" w:color="000000" w:fill="DDEBF7"/>
            <w:noWrap/>
            <w:vAlign w:val="center"/>
            <w:hideMark/>
          </w:tcPr>
          <w:p w14:paraId="39287AAC" w14:textId="77777777" w:rsidR="003078B4" w:rsidRPr="003078B4" w:rsidRDefault="003078B4" w:rsidP="003078B4">
            <w:pPr>
              <w:spacing w:line="240" w:lineRule="auto"/>
              <w:jc w:val="center"/>
              <w:rPr>
                <w:rFonts w:ascii="Calibri" w:eastAsia="Times New Roman" w:hAnsi="Calibri"/>
                <w:b/>
                <w:bCs/>
                <w:sz w:val="22"/>
                <w:szCs w:val="22"/>
              </w:rPr>
            </w:pPr>
            <w:r w:rsidRPr="003078B4">
              <w:rPr>
                <w:rFonts w:ascii="Calibri" w:eastAsia="Times New Roman" w:hAnsi="Calibri"/>
                <w:b/>
                <w:bCs/>
                <w:sz w:val="22"/>
                <w:szCs w:val="22"/>
              </w:rPr>
              <w:t>55</w:t>
            </w:r>
          </w:p>
        </w:tc>
      </w:tr>
      <w:tr w:rsidR="003078B4" w:rsidRPr="003078B4" w14:paraId="23DE059F" w14:textId="77777777" w:rsidTr="003078B4">
        <w:trPr>
          <w:trHeight w:val="402"/>
          <w:jc w:val="center"/>
        </w:trPr>
        <w:tc>
          <w:tcPr>
            <w:tcW w:w="4183" w:type="dxa"/>
            <w:tcBorders>
              <w:top w:val="nil"/>
              <w:left w:val="double" w:sz="6" w:space="0" w:color="auto"/>
              <w:bottom w:val="double" w:sz="6" w:space="0" w:color="auto"/>
              <w:right w:val="single" w:sz="4" w:space="0" w:color="auto"/>
            </w:tcBorders>
            <w:shd w:val="clear" w:color="000000" w:fill="9BC2E6"/>
            <w:noWrap/>
            <w:vAlign w:val="center"/>
            <w:hideMark/>
          </w:tcPr>
          <w:p w14:paraId="7B4E1C3F" w14:textId="77777777" w:rsidR="003078B4" w:rsidRPr="003078B4" w:rsidRDefault="003078B4" w:rsidP="003078B4">
            <w:pPr>
              <w:spacing w:line="240" w:lineRule="auto"/>
              <w:jc w:val="center"/>
              <w:rPr>
                <w:rFonts w:ascii="Calibri" w:eastAsia="Times New Roman" w:hAnsi="Calibri"/>
                <w:sz w:val="22"/>
                <w:szCs w:val="22"/>
              </w:rPr>
            </w:pPr>
            <w:r w:rsidRPr="003078B4">
              <w:rPr>
                <w:rFonts w:ascii="Calibri" w:eastAsia="Times New Roman" w:hAnsi="Calibri"/>
                <w:sz w:val="22"/>
                <w:szCs w:val="22"/>
              </w:rPr>
              <w:t>Energy cost unit ($/kWh)</w:t>
            </w:r>
          </w:p>
        </w:tc>
        <w:tc>
          <w:tcPr>
            <w:tcW w:w="697" w:type="dxa"/>
            <w:tcBorders>
              <w:top w:val="nil"/>
              <w:left w:val="nil"/>
              <w:bottom w:val="double" w:sz="6" w:space="0" w:color="auto"/>
              <w:right w:val="double" w:sz="6" w:space="0" w:color="auto"/>
            </w:tcBorders>
            <w:shd w:val="clear" w:color="000000" w:fill="DDEBF7"/>
            <w:noWrap/>
            <w:vAlign w:val="center"/>
            <w:hideMark/>
          </w:tcPr>
          <w:p w14:paraId="7E9E8EED" w14:textId="77777777" w:rsidR="003078B4" w:rsidRPr="003078B4" w:rsidRDefault="003078B4" w:rsidP="003078B4">
            <w:pPr>
              <w:spacing w:line="240" w:lineRule="auto"/>
              <w:jc w:val="center"/>
              <w:rPr>
                <w:rFonts w:ascii="Calibri" w:eastAsia="Times New Roman" w:hAnsi="Calibri"/>
                <w:b/>
                <w:bCs/>
                <w:sz w:val="22"/>
                <w:szCs w:val="22"/>
              </w:rPr>
            </w:pPr>
            <w:r w:rsidRPr="003078B4">
              <w:rPr>
                <w:rFonts w:ascii="Calibri" w:eastAsia="Times New Roman" w:hAnsi="Calibri"/>
                <w:b/>
                <w:bCs/>
                <w:sz w:val="22"/>
                <w:szCs w:val="22"/>
              </w:rPr>
              <w:t>0.055</w:t>
            </w:r>
          </w:p>
        </w:tc>
      </w:tr>
    </w:tbl>
    <w:p w14:paraId="40932061" w14:textId="77777777" w:rsidR="003078B4" w:rsidRPr="003078B4" w:rsidRDefault="003078B4" w:rsidP="00CB3C92"/>
    <w:p w14:paraId="07625719" w14:textId="77777777" w:rsidR="00890403" w:rsidRDefault="00890403" w:rsidP="00CB3C92"/>
    <w:p w14:paraId="2FA72210" w14:textId="248AFC25" w:rsidR="00890403" w:rsidRDefault="00890403" w:rsidP="00CB3C92">
      <w:r>
        <w:t xml:space="preserve">An example of the </w:t>
      </w:r>
      <w:r>
        <w:rPr>
          <w:b/>
        </w:rPr>
        <w:t>Actual Aerator Performance</w:t>
      </w:r>
      <w:r>
        <w:t xml:space="preserve"> output data for the</w:t>
      </w:r>
      <w:r w:rsidR="000870E5">
        <w:t xml:space="preserve"> given</w:t>
      </w:r>
      <w:r>
        <w:t xml:space="preserve"> </w:t>
      </w:r>
      <w:r w:rsidRPr="00890403">
        <w:rPr>
          <w:i/>
        </w:rPr>
        <w:t>alternate scenario</w:t>
      </w:r>
      <w:r>
        <w:t xml:space="preserve"> is provided below.</w:t>
      </w:r>
    </w:p>
    <w:p w14:paraId="33FE6622" w14:textId="77777777" w:rsidR="00890403" w:rsidRDefault="00890403" w:rsidP="00CB3C92"/>
    <w:tbl>
      <w:tblPr>
        <w:tblW w:w="5400" w:type="dxa"/>
        <w:jc w:val="center"/>
        <w:tblLook w:val="04A0" w:firstRow="1" w:lastRow="0" w:firstColumn="1" w:lastColumn="0" w:noHBand="0" w:noVBand="1"/>
      </w:tblPr>
      <w:tblGrid>
        <w:gridCol w:w="4664"/>
        <w:gridCol w:w="831"/>
      </w:tblGrid>
      <w:tr w:rsidR="00890403" w:rsidRPr="00890403" w14:paraId="01356B9A" w14:textId="77777777" w:rsidTr="00890403">
        <w:trPr>
          <w:trHeight w:val="402"/>
          <w:jc w:val="center"/>
        </w:trPr>
        <w:tc>
          <w:tcPr>
            <w:tcW w:w="5400" w:type="dxa"/>
            <w:gridSpan w:val="2"/>
            <w:vMerge w:val="restart"/>
            <w:tcBorders>
              <w:top w:val="double" w:sz="6" w:space="0" w:color="auto"/>
              <w:left w:val="double" w:sz="6" w:space="0" w:color="auto"/>
              <w:bottom w:val="single" w:sz="8" w:space="0" w:color="000000"/>
              <w:right w:val="double" w:sz="6" w:space="0" w:color="000000"/>
            </w:tcBorders>
            <w:shd w:val="clear" w:color="000000" w:fill="2F75B5"/>
            <w:noWrap/>
            <w:vAlign w:val="center"/>
            <w:hideMark/>
          </w:tcPr>
          <w:p w14:paraId="69D0901C" w14:textId="77777777" w:rsidR="00890403" w:rsidRPr="00890403" w:rsidRDefault="00890403" w:rsidP="00890403">
            <w:pPr>
              <w:spacing w:line="240" w:lineRule="auto"/>
              <w:jc w:val="center"/>
              <w:rPr>
                <w:rFonts w:ascii="Calibri" w:eastAsia="Times New Roman" w:hAnsi="Calibri"/>
                <w:b/>
                <w:bCs/>
                <w:color w:val="FFFFFF"/>
              </w:rPr>
            </w:pPr>
            <w:r w:rsidRPr="00890403">
              <w:rPr>
                <w:rFonts w:ascii="Calibri" w:eastAsia="Times New Roman" w:hAnsi="Calibri"/>
                <w:b/>
                <w:bCs/>
                <w:color w:val="FFFFFF"/>
              </w:rPr>
              <w:t>Actual Aerator Performance</w:t>
            </w:r>
          </w:p>
        </w:tc>
      </w:tr>
      <w:tr w:rsidR="00890403" w:rsidRPr="00890403" w14:paraId="7C1B0B7C" w14:textId="77777777" w:rsidTr="00890403">
        <w:trPr>
          <w:trHeight w:val="402"/>
          <w:jc w:val="center"/>
        </w:trPr>
        <w:tc>
          <w:tcPr>
            <w:tcW w:w="5400" w:type="dxa"/>
            <w:gridSpan w:val="2"/>
            <w:vMerge/>
            <w:tcBorders>
              <w:top w:val="double" w:sz="6" w:space="0" w:color="auto"/>
              <w:left w:val="double" w:sz="6" w:space="0" w:color="auto"/>
              <w:bottom w:val="single" w:sz="8" w:space="0" w:color="000000"/>
              <w:right w:val="double" w:sz="6" w:space="0" w:color="000000"/>
            </w:tcBorders>
            <w:vAlign w:val="center"/>
            <w:hideMark/>
          </w:tcPr>
          <w:p w14:paraId="796D95DC" w14:textId="77777777" w:rsidR="00890403" w:rsidRPr="00890403" w:rsidRDefault="00890403" w:rsidP="00890403">
            <w:pPr>
              <w:spacing w:line="240" w:lineRule="auto"/>
              <w:rPr>
                <w:rFonts w:ascii="Calibri" w:eastAsia="Times New Roman" w:hAnsi="Calibri"/>
                <w:b/>
                <w:bCs/>
                <w:color w:val="FFFFFF"/>
              </w:rPr>
            </w:pPr>
          </w:p>
        </w:tc>
      </w:tr>
      <w:tr w:rsidR="00890403" w:rsidRPr="00890403" w14:paraId="1019B140" w14:textId="77777777" w:rsidTr="00890403">
        <w:trPr>
          <w:trHeight w:val="402"/>
          <w:jc w:val="center"/>
        </w:trPr>
        <w:tc>
          <w:tcPr>
            <w:tcW w:w="4664" w:type="dxa"/>
            <w:tcBorders>
              <w:top w:val="nil"/>
              <w:left w:val="double" w:sz="6" w:space="0" w:color="auto"/>
              <w:bottom w:val="single" w:sz="4" w:space="0" w:color="auto"/>
              <w:right w:val="single" w:sz="4" w:space="0" w:color="auto"/>
            </w:tcBorders>
            <w:shd w:val="clear" w:color="000000" w:fill="9BC2E6"/>
            <w:noWrap/>
            <w:vAlign w:val="center"/>
            <w:hideMark/>
          </w:tcPr>
          <w:p w14:paraId="34949573" w14:textId="77777777" w:rsidR="00890403" w:rsidRPr="00890403" w:rsidRDefault="00890403" w:rsidP="00890403">
            <w:pPr>
              <w:spacing w:line="240" w:lineRule="auto"/>
              <w:jc w:val="center"/>
              <w:rPr>
                <w:rFonts w:ascii="Calibri" w:eastAsia="Times New Roman" w:hAnsi="Calibri"/>
                <w:sz w:val="22"/>
                <w:szCs w:val="22"/>
              </w:rPr>
            </w:pPr>
            <w:r w:rsidRPr="00890403">
              <w:rPr>
                <w:rFonts w:ascii="Calibri" w:eastAsia="Times New Roman" w:hAnsi="Calibri"/>
                <w:sz w:val="22"/>
                <w:szCs w:val="22"/>
              </w:rPr>
              <w:t xml:space="preserve">Field OTR ( </w:t>
            </w:r>
            <w:proofErr w:type="spellStart"/>
            <w:r w:rsidRPr="00890403">
              <w:rPr>
                <w:rFonts w:ascii="Calibri" w:eastAsia="Times New Roman" w:hAnsi="Calibri"/>
                <w:sz w:val="22"/>
                <w:szCs w:val="22"/>
              </w:rPr>
              <w:t>lb</w:t>
            </w:r>
            <w:proofErr w:type="spellEnd"/>
            <w:r w:rsidRPr="00890403">
              <w:rPr>
                <w:rFonts w:ascii="Calibri" w:eastAsia="Times New Roman" w:hAnsi="Calibri"/>
                <w:sz w:val="22"/>
                <w:szCs w:val="22"/>
              </w:rPr>
              <w:t xml:space="preserve"> O2 / </w:t>
            </w:r>
            <w:proofErr w:type="spellStart"/>
            <w:r w:rsidRPr="00890403">
              <w:rPr>
                <w:rFonts w:ascii="Calibri" w:eastAsia="Times New Roman" w:hAnsi="Calibri"/>
                <w:sz w:val="22"/>
                <w:szCs w:val="22"/>
              </w:rPr>
              <w:t>hp-hr</w:t>
            </w:r>
            <w:proofErr w:type="spellEnd"/>
            <w:r w:rsidRPr="00890403">
              <w:rPr>
                <w:rFonts w:ascii="Calibri" w:eastAsia="Times New Roman" w:hAnsi="Calibri"/>
                <w:sz w:val="22"/>
                <w:szCs w:val="22"/>
              </w:rPr>
              <w:t>)</w:t>
            </w:r>
          </w:p>
        </w:tc>
        <w:tc>
          <w:tcPr>
            <w:tcW w:w="736" w:type="dxa"/>
            <w:tcBorders>
              <w:top w:val="nil"/>
              <w:left w:val="nil"/>
              <w:bottom w:val="single" w:sz="4" w:space="0" w:color="auto"/>
              <w:right w:val="double" w:sz="6" w:space="0" w:color="auto"/>
            </w:tcBorders>
            <w:shd w:val="clear" w:color="000000" w:fill="DDEBF7"/>
            <w:noWrap/>
            <w:vAlign w:val="center"/>
            <w:hideMark/>
          </w:tcPr>
          <w:p w14:paraId="43362AED" w14:textId="77777777" w:rsidR="00890403" w:rsidRPr="00890403" w:rsidRDefault="00890403" w:rsidP="00890403">
            <w:pPr>
              <w:spacing w:line="240" w:lineRule="auto"/>
              <w:jc w:val="center"/>
              <w:rPr>
                <w:rFonts w:ascii="Calibri" w:eastAsia="Times New Roman" w:hAnsi="Calibri"/>
                <w:b/>
                <w:bCs/>
                <w:sz w:val="22"/>
                <w:szCs w:val="22"/>
              </w:rPr>
            </w:pPr>
            <w:r w:rsidRPr="00890403">
              <w:rPr>
                <w:rFonts w:ascii="Calibri" w:eastAsia="Times New Roman" w:hAnsi="Calibri"/>
                <w:b/>
                <w:bCs/>
                <w:sz w:val="22"/>
                <w:szCs w:val="22"/>
              </w:rPr>
              <w:t>1.78</w:t>
            </w:r>
          </w:p>
        </w:tc>
      </w:tr>
      <w:tr w:rsidR="00890403" w:rsidRPr="00890403" w14:paraId="384D3A21" w14:textId="77777777" w:rsidTr="00890403">
        <w:trPr>
          <w:trHeight w:val="402"/>
          <w:jc w:val="center"/>
        </w:trPr>
        <w:tc>
          <w:tcPr>
            <w:tcW w:w="4664" w:type="dxa"/>
            <w:tcBorders>
              <w:top w:val="nil"/>
              <w:left w:val="double" w:sz="6" w:space="0" w:color="auto"/>
              <w:bottom w:val="single" w:sz="4" w:space="0" w:color="auto"/>
              <w:right w:val="single" w:sz="4" w:space="0" w:color="auto"/>
            </w:tcBorders>
            <w:shd w:val="clear" w:color="000000" w:fill="9BC2E6"/>
            <w:noWrap/>
            <w:vAlign w:val="center"/>
            <w:hideMark/>
          </w:tcPr>
          <w:p w14:paraId="44B18DFC" w14:textId="77777777" w:rsidR="00890403" w:rsidRPr="00890403" w:rsidRDefault="00890403" w:rsidP="00890403">
            <w:pPr>
              <w:spacing w:line="240" w:lineRule="auto"/>
              <w:jc w:val="center"/>
              <w:rPr>
                <w:rFonts w:ascii="Calibri" w:eastAsia="Times New Roman" w:hAnsi="Calibri"/>
                <w:sz w:val="22"/>
                <w:szCs w:val="22"/>
              </w:rPr>
            </w:pPr>
            <w:r w:rsidRPr="00890403">
              <w:rPr>
                <w:rFonts w:ascii="Calibri" w:eastAsia="Times New Roman" w:hAnsi="Calibri"/>
                <w:sz w:val="22"/>
                <w:szCs w:val="22"/>
              </w:rPr>
              <w:t>Aerator energy use (kWh/month)</w:t>
            </w:r>
          </w:p>
        </w:tc>
        <w:tc>
          <w:tcPr>
            <w:tcW w:w="736" w:type="dxa"/>
            <w:tcBorders>
              <w:top w:val="nil"/>
              <w:left w:val="nil"/>
              <w:bottom w:val="single" w:sz="4" w:space="0" w:color="auto"/>
              <w:right w:val="double" w:sz="6" w:space="0" w:color="auto"/>
            </w:tcBorders>
            <w:shd w:val="clear" w:color="000000" w:fill="DDEBF7"/>
            <w:noWrap/>
            <w:vAlign w:val="center"/>
            <w:hideMark/>
          </w:tcPr>
          <w:p w14:paraId="6AA0DD0D" w14:textId="77777777" w:rsidR="00890403" w:rsidRPr="00890403" w:rsidRDefault="00890403" w:rsidP="00890403">
            <w:pPr>
              <w:spacing w:line="240" w:lineRule="auto"/>
              <w:jc w:val="center"/>
              <w:rPr>
                <w:rFonts w:ascii="Calibri" w:eastAsia="Times New Roman" w:hAnsi="Calibri"/>
                <w:b/>
                <w:bCs/>
                <w:sz w:val="22"/>
                <w:szCs w:val="22"/>
              </w:rPr>
            </w:pPr>
            <w:r w:rsidRPr="00890403">
              <w:rPr>
                <w:rFonts w:ascii="Calibri" w:eastAsia="Times New Roman" w:hAnsi="Calibri"/>
                <w:b/>
                <w:bCs/>
                <w:sz w:val="22"/>
                <w:szCs w:val="22"/>
              </w:rPr>
              <w:t>54,698</w:t>
            </w:r>
          </w:p>
        </w:tc>
      </w:tr>
      <w:tr w:rsidR="00890403" w:rsidRPr="00890403" w14:paraId="77B00A5C" w14:textId="77777777" w:rsidTr="00890403">
        <w:trPr>
          <w:trHeight w:val="402"/>
          <w:jc w:val="center"/>
        </w:trPr>
        <w:tc>
          <w:tcPr>
            <w:tcW w:w="4664" w:type="dxa"/>
            <w:tcBorders>
              <w:top w:val="nil"/>
              <w:left w:val="double" w:sz="6" w:space="0" w:color="auto"/>
              <w:bottom w:val="single" w:sz="8" w:space="0" w:color="auto"/>
              <w:right w:val="single" w:sz="4" w:space="0" w:color="auto"/>
            </w:tcBorders>
            <w:shd w:val="clear" w:color="000000" w:fill="9BC2E6"/>
            <w:noWrap/>
            <w:vAlign w:val="center"/>
            <w:hideMark/>
          </w:tcPr>
          <w:p w14:paraId="05BBC7E1" w14:textId="77777777" w:rsidR="00890403" w:rsidRPr="00890403" w:rsidRDefault="00890403" w:rsidP="00890403">
            <w:pPr>
              <w:spacing w:line="240" w:lineRule="auto"/>
              <w:jc w:val="center"/>
              <w:rPr>
                <w:rFonts w:ascii="Calibri" w:eastAsia="Times New Roman" w:hAnsi="Calibri"/>
                <w:sz w:val="22"/>
                <w:szCs w:val="22"/>
              </w:rPr>
            </w:pPr>
            <w:r w:rsidRPr="00890403">
              <w:rPr>
                <w:rFonts w:ascii="Calibri" w:eastAsia="Times New Roman" w:hAnsi="Calibri"/>
                <w:sz w:val="22"/>
                <w:szCs w:val="22"/>
              </w:rPr>
              <w:t>Energy cost ($/month)</w:t>
            </w:r>
          </w:p>
        </w:tc>
        <w:tc>
          <w:tcPr>
            <w:tcW w:w="736" w:type="dxa"/>
            <w:tcBorders>
              <w:top w:val="nil"/>
              <w:left w:val="nil"/>
              <w:bottom w:val="single" w:sz="8" w:space="0" w:color="auto"/>
              <w:right w:val="double" w:sz="6" w:space="0" w:color="auto"/>
            </w:tcBorders>
            <w:shd w:val="clear" w:color="000000" w:fill="DDEBF7"/>
            <w:noWrap/>
            <w:vAlign w:val="center"/>
            <w:hideMark/>
          </w:tcPr>
          <w:p w14:paraId="0FEFA595" w14:textId="77777777" w:rsidR="00890403" w:rsidRPr="00890403" w:rsidRDefault="00890403" w:rsidP="00890403">
            <w:pPr>
              <w:spacing w:line="240" w:lineRule="auto"/>
              <w:jc w:val="center"/>
              <w:rPr>
                <w:rFonts w:ascii="Calibri" w:eastAsia="Times New Roman" w:hAnsi="Calibri"/>
                <w:b/>
                <w:bCs/>
                <w:sz w:val="22"/>
                <w:szCs w:val="22"/>
              </w:rPr>
            </w:pPr>
            <w:r w:rsidRPr="00890403">
              <w:rPr>
                <w:rFonts w:ascii="Calibri" w:eastAsia="Times New Roman" w:hAnsi="Calibri"/>
                <w:b/>
                <w:bCs/>
                <w:sz w:val="22"/>
                <w:szCs w:val="22"/>
              </w:rPr>
              <w:t>3,008</w:t>
            </w:r>
          </w:p>
        </w:tc>
      </w:tr>
      <w:tr w:rsidR="00890403" w:rsidRPr="00890403" w14:paraId="60404E8D" w14:textId="77777777" w:rsidTr="00890403">
        <w:trPr>
          <w:trHeight w:val="402"/>
          <w:jc w:val="center"/>
        </w:trPr>
        <w:tc>
          <w:tcPr>
            <w:tcW w:w="4664" w:type="dxa"/>
            <w:tcBorders>
              <w:top w:val="nil"/>
              <w:left w:val="double" w:sz="6" w:space="0" w:color="auto"/>
              <w:bottom w:val="double" w:sz="6" w:space="0" w:color="auto"/>
              <w:right w:val="single" w:sz="4" w:space="0" w:color="auto"/>
            </w:tcBorders>
            <w:shd w:val="clear" w:color="000000" w:fill="9BC2E6"/>
            <w:noWrap/>
            <w:vAlign w:val="center"/>
            <w:hideMark/>
          </w:tcPr>
          <w:p w14:paraId="378A6555" w14:textId="77777777" w:rsidR="00890403" w:rsidRPr="00890403" w:rsidRDefault="00890403" w:rsidP="00890403">
            <w:pPr>
              <w:spacing w:line="240" w:lineRule="auto"/>
              <w:jc w:val="center"/>
              <w:rPr>
                <w:rFonts w:ascii="Calibri" w:eastAsia="Times New Roman" w:hAnsi="Calibri"/>
                <w:sz w:val="22"/>
                <w:szCs w:val="22"/>
              </w:rPr>
            </w:pPr>
            <w:r w:rsidRPr="00890403">
              <w:rPr>
                <w:rFonts w:ascii="Calibri" w:eastAsia="Times New Roman" w:hAnsi="Calibri"/>
                <w:sz w:val="22"/>
                <w:szCs w:val="22"/>
              </w:rPr>
              <w:t>Cost savings vs. current conditions ($/month)</w:t>
            </w:r>
          </w:p>
        </w:tc>
        <w:tc>
          <w:tcPr>
            <w:tcW w:w="736" w:type="dxa"/>
            <w:tcBorders>
              <w:top w:val="nil"/>
              <w:left w:val="nil"/>
              <w:bottom w:val="double" w:sz="6" w:space="0" w:color="auto"/>
              <w:right w:val="double" w:sz="6" w:space="0" w:color="auto"/>
            </w:tcBorders>
            <w:shd w:val="clear" w:color="000000" w:fill="DDEBF7"/>
            <w:noWrap/>
            <w:vAlign w:val="center"/>
            <w:hideMark/>
          </w:tcPr>
          <w:p w14:paraId="535E35BC" w14:textId="77777777" w:rsidR="00890403" w:rsidRPr="00890403" w:rsidRDefault="00890403" w:rsidP="00890403">
            <w:pPr>
              <w:spacing w:line="240" w:lineRule="auto"/>
              <w:jc w:val="center"/>
              <w:rPr>
                <w:rFonts w:ascii="Calibri" w:eastAsia="Times New Roman" w:hAnsi="Calibri"/>
                <w:b/>
                <w:bCs/>
                <w:sz w:val="22"/>
                <w:szCs w:val="22"/>
              </w:rPr>
            </w:pPr>
            <w:r w:rsidRPr="00890403">
              <w:rPr>
                <w:rFonts w:ascii="Calibri" w:eastAsia="Times New Roman" w:hAnsi="Calibri"/>
                <w:b/>
                <w:bCs/>
                <w:sz w:val="22"/>
                <w:szCs w:val="22"/>
              </w:rPr>
              <w:t>1,586</w:t>
            </w:r>
          </w:p>
        </w:tc>
      </w:tr>
    </w:tbl>
    <w:p w14:paraId="41A0FD1E" w14:textId="77777777" w:rsidR="00890403" w:rsidRDefault="00890403" w:rsidP="00CB3C92"/>
    <w:p w14:paraId="581B4EC6" w14:textId="77777777" w:rsidR="00890403" w:rsidRDefault="00890403" w:rsidP="00CB3C92"/>
    <w:p w14:paraId="2AA9EAD5" w14:textId="796F512D" w:rsidR="00890403" w:rsidRPr="00111DA3" w:rsidRDefault="00890403" w:rsidP="00CB3C92">
      <w:r>
        <w:t xml:space="preserve">For this example and the </w:t>
      </w:r>
      <w:r w:rsidRPr="00890403">
        <w:rPr>
          <w:i/>
        </w:rPr>
        <w:t>alternate scenario</w:t>
      </w:r>
      <w:r>
        <w:t xml:space="preserve">, the </w:t>
      </w:r>
      <w:r>
        <w:rPr>
          <w:b/>
        </w:rPr>
        <w:t>field OTR</w:t>
      </w:r>
      <w:r>
        <w:t xml:space="preserve"> is 1.78 </w:t>
      </w:r>
      <w:proofErr w:type="spellStart"/>
      <w:r>
        <w:t>lb</w:t>
      </w:r>
      <w:proofErr w:type="spellEnd"/>
      <w:proofErr w:type="gramStart"/>
      <w:r>
        <w:t>/(</w:t>
      </w:r>
      <w:proofErr w:type="spellStart"/>
      <w:proofErr w:type="gramEnd"/>
      <w:r>
        <w:t>hp-hr</w:t>
      </w:r>
      <w:proofErr w:type="spellEnd"/>
      <w:r>
        <w:t>). The increase in aeration efficiency is due to the operating DO concentration of 2.0 mg/L</w:t>
      </w:r>
      <w:r w:rsidR="003078B4">
        <w:t xml:space="preserve"> for the </w:t>
      </w:r>
      <w:r w:rsidR="003078B4" w:rsidRPr="00890403">
        <w:rPr>
          <w:i/>
        </w:rPr>
        <w:t>alternate scenario</w:t>
      </w:r>
      <w:r>
        <w:t xml:space="preserve">. If one examines the </w:t>
      </w:r>
      <w:r>
        <w:rPr>
          <w:b/>
        </w:rPr>
        <w:t xml:space="preserve">total oxygen supplied </w:t>
      </w:r>
      <w:r>
        <w:t xml:space="preserve">for the </w:t>
      </w:r>
      <w:r w:rsidRPr="00890403">
        <w:rPr>
          <w:i/>
        </w:rPr>
        <w:t>alternate scenario</w:t>
      </w:r>
      <w:r>
        <w:t xml:space="preserve">, </w:t>
      </w:r>
      <w:r w:rsidR="003078B4">
        <w:t xml:space="preserve">the total oxygen supplied is now 4,986 </w:t>
      </w:r>
      <w:proofErr w:type="spellStart"/>
      <w:r w:rsidR="003078B4">
        <w:t>lb</w:t>
      </w:r>
      <w:proofErr w:type="spellEnd"/>
      <w:r w:rsidR="003078B4">
        <w:t xml:space="preserve">/day, which is significantly less than for </w:t>
      </w:r>
      <w:r w:rsidR="003078B4">
        <w:rPr>
          <w:i/>
        </w:rPr>
        <w:t>current conditions</w:t>
      </w:r>
      <w:r w:rsidR="003078B4">
        <w:t>. The redu</w:t>
      </w:r>
      <w:r w:rsidR="00FD0F9E">
        <w:t>ction in oxygen supp</w:t>
      </w:r>
      <w:r w:rsidR="000870E5">
        <w:t>lied occurs</w:t>
      </w:r>
      <w:r w:rsidR="00FD0F9E">
        <w:t xml:space="preserve"> because</w:t>
      </w:r>
      <w:r w:rsidR="003078B4">
        <w:t xml:space="preserve"> the blower only runs 20 hours per day and at only 55% speed for the </w:t>
      </w:r>
      <w:r w:rsidR="003078B4" w:rsidRPr="00890403">
        <w:rPr>
          <w:i/>
        </w:rPr>
        <w:t>alternate scenario</w:t>
      </w:r>
      <w:r w:rsidR="003078B4">
        <w:t xml:space="preserve">. </w:t>
      </w:r>
      <w:r w:rsidR="00111DA3">
        <w:t xml:space="preserve">With the blower turned off 4 hours per day to achieve denitrification, the </w:t>
      </w:r>
      <w:r w:rsidR="00111DA3">
        <w:rPr>
          <w:b/>
        </w:rPr>
        <w:t xml:space="preserve">total oxygen </w:t>
      </w:r>
      <w:proofErr w:type="spellStart"/>
      <w:r w:rsidR="00111DA3">
        <w:rPr>
          <w:b/>
        </w:rPr>
        <w:t>req’d</w:t>
      </w:r>
      <w:proofErr w:type="spellEnd"/>
      <w:r w:rsidR="00111DA3">
        <w:rPr>
          <w:b/>
        </w:rPr>
        <w:t xml:space="preserve"> with </w:t>
      </w:r>
      <w:proofErr w:type="spellStart"/>
      <w:r w:rsidR="00111DA3">
        <w:rPr>
          <w:b/>
        </w:rPr>
        <w:t>denit</w:t>
      </w:r>
      <w:proofErr w:type="spellEnd"/>
      <w:r w:rsidR="00111DA3">
        <w:rPr>
          <w:b/>
        </w:rPr>
        <w:t>. (</w:t>
      </w:r>
      <w:proofErr w:type="spellStart"/>
      <w:r w:rsidR="00111DA3">
        <w:rPr>
          <w:b/>
        </w:rPr>
        <w:t>lb</w:t>
      </w:r>
      <w:proofErr w:type="spellEnd"/>
      <w:r w:rsidR="00111DA3">
        <w:rPr>
          <w:b/>
        </w:rPr>
        <w:t>/day)</w:t>
      </w:r>
      <w:r w:rsidR="00111DA3">
        <w:t xml:space="preserve"> is about 4</w:t>
      </w:r>
      <w:r w:rsidR="00DF1509">
        <w:t>,</w:t>
      </w:r>
      <w:r w:rsidR="00111DA3">
        <w:t xml:space="preserve">700 </w:t>
      </w:r>
      <w:proofErr w:type="spellStart"/>
      <w:r w:rsidR="00111DA3">
        <w:t>lb</w:t>
      </w:r>
      <w:proofErr w:type="spellEnd"/>
      <w:r w:rsidR="00111DA3">
        <w:t>/day.</w:t>
      </w:r>
    </w:p>
    <w:p w14:paraId="53A2AC3E" w14:textId="77777777" w:rsidR="00890403" w:rsidRDefault="00890403" w:rsidP="00CB3C92"/>
    <w:p w14:paraId="22B6AF93" w14:textId="34FB89D4" w:rsidR="00890403" w:rsidRPr="00FD0F9E" w:rsidRDefault="00FD0F9E" w:rsidP="00CB3C92">
      <w:r>
        <w:rPr>
          <w:b/>
        </w:rPr>
        <w:t>Aerator energy use (kWh/month)</w:t>
      </w:r>
      <w:r>
        <w:t xml:space="preserve"> for the </w:t>
      </w:r>
      <w:r w:rsidRPr="00890403">
        <w:rPr>
          <w:i/>
        </w:rPr>
        <w:t>alternate scenario</w:t>
      </w:r>
      <w:r>
        <w:t xml:space="preserve"> is about 54,700 kWh/month, 35% less than that for </w:t>
      </w:r>
      <w:r w:rsidRPr="00FD0F9E">
        <w:rPr>
          <w:i/>
        </w:rPr>
        <w:t>existing conditions</w:t>
      </w:r>
      <w:r>
        <w:t xml:space="preserve">. The </w:t>
      </w:r>
      <w:r>
        <w:rPr>
          <w:b/>
        </w:rPr>
        <w:t>energy cost ($/month)</w:t>
      </w:r>
      <w:r>
        <w:t xml:space="preserve"> for the example input data for the </w:t>
      </w:r>
      <w:r>
        <w:rPr>
          <w:i/>
        </w:rPr>
        <w:t>alternate scenario</w:t>
      </w:r>
      <w:r>
        <w:t xml:space="preserve"> is about $3000/month. The </w:t>
      </w:r>
      <w:r>
        <w:rPr>
          <w:b/>
        </w:rPr>
        <w:t xml:space="preserve">cost savings versus current conditions </w:t>
      </w:r>
      <w:r>
        <w:t>is approximately $1600 per month.</w:t>
      </w:r>
    </w:p>
    <w:p w14:paraId="557A6734" w14:textId="77777777" w:rsidR="00890403" w:rsidRDefault="00890403" w:rsidP="00CB3C92"/>
    <w:p w14:paraId="53D616B2" w14:textId="77777777" w:rsidR="00890403" w:rsidRPr="00EC5038" w:rsidRDefault="00890403" w:rsidP="00CB3C92"/>
    <w:p w14:paraId="37575021" w14:textId="77777777" w:rsidR="00BE13B7" w:rsidRDefault="00BE13B7" w:rsidP="00CB3C92"/>
    <w:p w14:paraId="2BA9CA39" w14:textId="77777777" w:rsidR="00BE13B7" w:rsidRDefault="00BE13B7" w:rsidP="00CB3C92"/>
    <w:p w14:paraId="2BBFBB15" w14:textId="77777777" w:rsidR="00BE13B7" w:rsidRDefault="00BE13B7" w:rsidP="00CB3C92"/>
    <w:p w14:paraId="7578EE51" w14:textId="77777777" w:rsidR="00BE13B7" w:rsidRPr="00BE13B7" w:rsidRDefault="00BE13B7" w:rsidP="00CB3C92"/>
    <w:sectPr w:rsidR="00BE13B7" w:rsidRPr="00BE13B7" w:rsidSect="000C6A58">
      <w:footerReference w:type="even" r:id="rId12"/>
      <w:footerReference w:type="default" r:id="rId13"/>
      <w:pgSz w:w="12240" w:h="15840"/>
      <w:pgMar w:top="1440" w:right="1440" w:bottom="1440" w:left="1440" w:header="720" w:footer="720" w:gutter="0"/>
      <w:pgNumType w:start="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93793E" w14:textId="77777777" w:rsidR="00215B09" w:rsidRDefault="00215B09" w:rsidP="00F1077C">
      <w:pPr>
        <w:spacing w:line="240" w:lineRule="auto"/>
      </w:pPr>
      <w:r>
        <w:separator/>
      </w:r>
    </w:p>
  </w:endnote>
  <w:endnote w:type="continuationSeparator" w:id="0">
    <w:p w14:paraId="3AB6B54B" w14:textId="77777777" w:rsidR="00215B09" w:rsidRDefault="00215B09" w:rsidP="00F1077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EB4472" w14:textId="77777777" w:rsidR="00F03AD8" w:rsidRDefault="00F03AD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EAD9E29" w14:textId="77777777" w:rsidR="00F03AD8" w:rsidRDefault="00F03AD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7B9758" w14:textId="3E187D42" w:rsidR="00F03AD8" w:rsidRDefault="00F03AD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84ADC">
      <w:rPr>
        <w:rStyle w:val="PageNumber"/>
        <w:noProof/>
      </w:rPr>
      <w:t>17</w:t>
    </w:r>
    <w:r>
      <w:rPr>
        <w:rStyle w:val="PageNumber"/>
      </w:rPr>
      <w:fldChar w:fldCharType="end"/>
    </w:r>
  </w:p>
  <w:p w14:paraId="0169E616" w14:textId="77777777" w:rsidR="00F03AD8" w:rsidRDefault="00F03AD8">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90615F" w14:textId="77777777" w:rsidR="00215B09" w:rsidRDefault="00215B09" w:rsidP="00F1077C">
      <w:pPr>
        <w:spacing w:line="240" w:lineRule="auto"/>
      </w:pPr>
      <w:r>
        <w:separator/>
      </w:r>
    </w:p>
  </w:footnote>
  <w:footnote w:type="continuationSeparator" w:id="0">
    <w:p w14:paraId="0D77002D" w14:textId="77777777" w:rsidR="00215B09" w:rsidRDefault="00215B09" w:rsidP="00F1077C">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392A1C"/>
    <w:multiLevelType w:val="hybridMultilevel"/>
    <w:tmpl w:val="5E6E2C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4FA78A9"/>
    <w:multiLevelType w:val="hybridMultilevel"/>
    <w:tmpl w:val="C96AA5A2"/>
    <w:lvl w:ilvl="0" w:tplc="838298F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0784957"/>
    <w:multiLevelType w:val="hybridMultilevel"/>
    <w:tmpl w:val="BB44AC08"/>
    <w:lvl w:ilvl="0" w:tplc="12C08D56">
      <w:start w:val="21"/>
      <w:numFmt w:val="bullet"/>
      <w:lvlText w:val=""/>
      <w:lvlJc w:val="left"/>
      <w:pPr>
        <w:ind w:left="1800" w:hanging="360"/>
      </w:pPr>
      <w:rPr>
        <w:rFonts w:ascii="Symbol" w:eastAsiaTheme="minorHAnsi" w:hAnsi="Symbol"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6E0E67C8"/>
    <w:multiLevelType w:val="hybridMultilevel"/>
    <w:tmpl w:val="4CE671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65E4494"/>
    <w:multiLevelType w:val="hybridMultilevel"/>
    <w:tmpl w:val="632CF41C"/>
    <w:lvl w:ilvl="0" w:tplc="4BAEC482">
      <w:numFmt w:val="bullet"/>
      <w:lvlText w:val=""/>
      <w:lvlJc w:val="left"/>
      <w:pPr>
        <w:ind w:left="1080" w:hanging="360"/>
      </w:pPr>
      <w:rPr>
        <w:rFonts w:ascii="Symbol" w:eastAsiaTheme="minorHAnsi"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0464"/>
    <w:rsid w:val="0002154C"/>
    <w:rsid w:val="00021655"/>
    <w:rsid w:val="00030322"/>
    <w:rsid w:val="00036C28"/>
    <w:rsid w:val="00037876"/>
    <w:rsid w:val="00047D66"/>
    <w:rsid w:val="000550B9"/>
    <w:rsid w:val="00060F11"/>
    <w:rsid w:val="00063807"/>
    <w:rsid w:val="000645C6"/>
    <w:rsid w:val="00065B0B"/>
    <w:rsid w:val="00071C84"/>
    <w:rsid w:val="00072675"/>
    <w:rsid w:val="000767B6"/>
    <w:rsid w:val="00077057"/>
    <w:rsid w:val="000826F8"/>
    <w:rsid w:val="00084B89"/>
    <w:rsid w:val="000870E5"/>
    <w:rsid w:val="000916E8"/>
    <w:rsid w:val="00091C41"/>
    <w:rsid w:val="00091C7C"/>
    <w:rsid w:val="00094DE4"/>
    <w:rsid w:val="00096B3B"/>
    <w:rsid w:val="000A3C6C"/>
    <w:rsid w:val="000B39CD"/>
    <w:rsid w:val="000B5646"/>
    <w:rsid w:val="000B7679"/>
    <w:rsid w:val="000C0034"/>
    <w:rsid w:val="000C062C"/>
    <w:rsid w:val="000C075E"/>
    <w:rsid w:val="000C161B"/>
    <w:rsid w:val="000C292A"/>
    <w:rsid w:val="000C5404"/>
    <w:rsid w:val="000C5FF4"/>
    <w:rsid w:val="000C6689"/>
    <w:rsid w:val="000C6A58"/>
    <w:rsid w:val="000C7F0C"/>
    <w:rsid w:val="000D63C3"/>
    <w:rsid w:val="000D64D6"/>
    <w:rsid w:val="000D7FC7"/>
    <w:rsid w:val="000E049B"/>
    <w:rsid w:val="000E2BD4"/>
    <w:rsid w:val="000E4C48"/>
    <w:rsid w:val="000E6E4B"/>
    <w:rsid w:val="000E7430"/>
    <w:rsid w:val="001015AB"/>
    <w:rsid w:val="00102E6E"/>
    <w:rsid w:val="00111DA3"/>
    <w:rsid w:val="00112543"/>
    <w:rsid w:val="0013673F"/>
    <w:rsid w:val="001368FE"/>
    <w:rsid w:val="0014112A"/>
    <w:rsid w:val="001437A5"/>
    <w:rsid w:val="001457DA"/>
    <w:rsid w:val="0015332C"/>
    <w:rsid w:val="001615B1"/>
    <w:rsid w:val="0016582E"/>
    <w:rsid w:val="001678A5"/>
    <w:rsid w:val="001823E6"/>
    <w:rsid w:val="00182FB7"/>
    <w:rsid w:val="0018796D"/>
    <w:rsid w:val="00187CE9"/>
    <w:rsid w:val="001901C7"/>
    <w:rsid w:val="001903E1"/>
    <w:rsid w:val="0019115C"/>
    <w:rsid w:val="001A0D88"/>
    <w:rsid w:val="001B010B"/>
    <w:rsid w:val="001B4959"/>
    <w:rsid w:val="001B691F"/>
    <w:rsid w:val="001C192F"/>
    <w:rsid w:val="001C4B29"/>
    <w:rsid w:val="001C5B4A"/>
    <w:rsid w:val="001C672A"/>
    <w:rsid w:val="001D05E3"/>
    <w:rsid w:val="001D1084"/>
    <w:rsid w:val="001D4E9B"/>
    <w:rsid w:val="001D7F75"/>
    <w:rsid w:val="001E22E3"/>
    <w:rsid w:val="001F291F"/>
    <w:rsid w:val="001F7F21"/>
    <w:rsid w:val="002040AA"/>
    <w:rsid w:val="002112F1"/>
    <w:rsid w:val="0021295B"/>
    <w:rsid w:val="00214B4F"/>
    <w:rsid w:val="00215B09"/>
    <w:rsid w:val="00215D5E"/>
    <w:rsid w:val="002240D5"/>
    <w:rsid w:val="002256F1"/>
    <w:rsid w:val="00242F3E"/>
    <w:rsid w:val="00243780"/>
    <w:rsid w:val="00243F95"/>
    <w:rsid w:val="00247726"/>
    <w:rsid w:val="00247F26"/>
    <w:rsid w:val="00247F44"/>
    <w:rsid w:val="002504DB"/>
    <w:rsid w:val="00253F9C"/>
    <w:rsid w:val="002552E7"/>
    <w:rsid w:val="00256786"/>
    <w:rsid w:val="00256CE0"/>
    <w:rsid w:val="002604CA"/>
    <w:rsid w:val="00261826"/>
    <w:rsid w:val="00264A30"/>
    <w:rsid w:val="0027046C"/>
    <w:rsid w:val="00270D45"/>
    <w:rsid w:val="002724E8"/>
    <w:rsid w:val="00273465"/>
    <w:rsid w:val="00275BDE"/>
    <w:rsid w:val="002764CA"/>
    <w:rsid w:val="00283B58"/>
    <w:rsid w:val="00283C18"/>
    <w:rsid w:val="00285081"/>
    <w:rsid w:val="0028559B"/>
    <w:rsid w:val="0029579A"/>
    <w:rsid w:val="002A0591"/>
    <w:rsid w:val="002A3C55"/>
    <w:rsid w:val="002A4BBC"/>
    <w:rsid w:val="002A5E8B"/>
    <w:rsid w:val="002A6D1E"/>
    <w:rsid w:val="002B3A89"/>
    <w:rsid w:val="002B5351"/>
    <w:rsid w:val="002B7E36"/>
    <w:rsid w:val="002D081E"/>
    <w:rsid w:val="002D1AF3"/>
    <w:rsid w:val="002D2398"/>
    <w:rsid w:val="002E4058"/>
    <w:rsid w:val="002E65BF"/>
    <w:rsid w:val="002E664E"/>
    <w:rsid w:val="002F0415"/>
    <w:rsid w:val="002F2082"/>
    <w:rsid w:val="00300E58"/>
    <w:rsid w:val="003078B4"/>
    <w:rsid w:val="003114DC"/>
    <w:rsid w:val="00312E24"/>
    <w:rsid w:val="00314EF3"/>
    <w:rsid w:val="00322406"/>
    <w:rsid w:val="00330322"/>
    <w:rsid w:val="00331FCC"/>
    <w:rsid w:val="00334C58"/>
    <w:rsid w:val="003356C6"/>
    <w:rsid w:val="00336DE6"/>
    <w:rsid w:val="0034643D"/>
    <w:rsid w:val="00346D33"/>
    <w:rsid w:val="00350F57"/>
    <w:rsid w:val="003513C2"/>
    <w:rsid w:val="003521E1"/>
    <w:rsid w:val="003567CB"/>
    <w:rsid w:val="00362353"/>
    <w:rsid w:val="00363EAC"/>
    <w:rsid w:val="00363FB0"/>
    <w:rsid w:val="003645DB"/>
    <w:rsid w:val="00370831"/>
    <w:rsid w:val="00370F4C"/>
    <w:rsid w:val="003712DC"/>
    <w:rsid w:val="00374CE1"/>
    <w:rsid w:val="00381B7E"/>
    <w:rsid w:val="0038296A"/>
    <w:rsid w:val="003831DF"/>
    <w:rsid w:val="0038345B"/>
    <w:rsid w:val="00383C73"/>
    <w:rsid w:val="0038703F"/>
    <w:rsid w:val="00390EA6"/>
    <w:rsid w:val="003940C5"/>
    <w:rsid w:val="003A676E"/>
    <w:rsid w:val="003B097F"/>
    <w:rsid w:val="003B57A9"/>
    <w:rsid w:val="003B7EAA"/>
    <w:rsid w:val="003C426B"/>
    <w:rsid w:val="003D4D40"/>
    <w:rsid w:val="003D7B9E"/>
    <w:rsid w:val="003D7C14"/>
    <w:rsid w:val="003E01E5"/>
    <w:rsid w:val="003E36BE"/>
    <w:rsid w:val="003E5C7A"/>
    <w:rsid w:val="003E6FFB"/>
    <w:rsid w:val="003F776B"/>
    <w:rsid w:val="0040009D"/>
    <w:rsid w:val="004002D3"/>
    <w:rsid w:val="00402FC1"/>
    <w:rsid w:val="00403A2E"/>
    <w:rsid w:val="0041498D"/>
    <w:rsid w:val="00417D6E"/>
    <w:rsid w:val="00420754"/>
    <w:rsid w:val="00421C54"/>
    <w:rsid w:val="00425327"/>
    <w:rsid w:val="00425FCF"/>
    <w:rsid w:val="00426A47"/>
    <w:rsid w:val="00426E53"/>
    <w:rsid w:val="004274B5"/>
    <w:rsid w:val="0043280B"/>
    <w:rsid w:val="00435DE6"/>
    <w:rsid w:val="004407A3"/>
    <w:rsid w:val="00442A70"/>
    <w:rsid w:val="004433AA"/>
    <w:rsid w:val="00451C2A"/>
    <w:rsid w:val="004652A5"/>
    <w:rsid w:val="004669DD"/>
    <w:rsid w:val="00467210"/>
    <w:rsid w:val="0047662F"/>
    <w:rsid w:val="00480AB3"/>
    <w:rsid w:val="00480C38"/>
    <w:rsid w:val="004865BF"/>
    <w:rsid w:val="004914E0"/>
    <w:rsid w:val="00495BEA"/>
    <w:rsid w:val="00496087"/>
    <w:rsid w:val="004B4220"/>
    <w:rsid w:val="004B56B6"/>
    <w:rsid w:val="004B60C6"/>
    <w:rsid w:val="004C06E4"/>
    <w:rsid w:val="004D01D5"/>
    <w:rsid w:val="004D12D2"/>
    <w:rsid w:val="004D22E0"/>
    <w:rsid w:val="004E3AA9"/>
    <w:rsid w:val="004E40BC"/>
    <w:rsid w:val="004E53A6"/>
    <w:rsid w:val="004E77BA"/>
    <w:rsid w:val="00500DD4"/>
    <w:rsid w:val="0052064E"/>
    <w:rsid w:val="0052790A"/>
    <w:rsid w:val="00530C76"/>
    <w:rsid w:val="00533FB7"/>
    <w:rsid w:val="00535B2A"/>
    <w:rsid w:val="00537561"/>
    <w:rsid w:val="005436C1"/>
    <w:rsid w:val="0054577E"/>
    <w:rsid w:val="0055675F"/>
    <w:rsid w:val="00565F18"/>
    <w:rsid w:val="0057030D"/>
    <w:rsid w:val="00570802"/>
    <w:rsid w:val="00575595"/>
    <w:rsid w:val="0057673D"/>
    <w:rsid w:val="00581363"/>
    <w:rsid w:val="005819B7"/>
    <w:rsid w:val="005826D1"/>
    <w:rsid w:val="005827DE"/>
    <w:rsid w:val="00583843"/>
    <w:rsid w:val="00584ADC"/>
    <w:rsid w:val="00586190"/>
    <w:rsid w:val="00592123"/>
    <w:rsid w:val="00595572"/>
    <w:rsid w:val="00597B4B"/>
    <w:rsid w:val="005A15D6"/>
    <w:rsid w:val="005B08EC"/>
    <w:rsid w:val="005B6F85"/>
    <w:rsid w:val="005C51F6"/>
    <w:rsid w:val="005C5446"/>
    <w:rsid w:val="005C79B2"/>
    <w:rsid w:val="005C7B64"/>
    <w:rsid w:val="005D7704"/>
    <w:rsid w:val="005E26FC"/>
    <w:rsid w:val="005E5678"/>
    <w:rsid w:val="005E67EF"/>
    <w:rsid w:val="005F260C"/>
    <w:rsid w:val="006048E4"/>
    <w:rsid w:val="006121A0"/>
    <w:rsid w:val="00614DA0"/>
    <w:rsid w:val="00625C28"/>
    <w:rsid w:val="006301C6"/>
    <w:rsid w:val="0063391D"/>
    <w:rsid w:val="0063744D"/>
    <w:rsid w:val="00644026"/>
    <w:rsid w:val="00644538"/>
    <w:rsid w:val="00647431"/>
    <w:rsid w:val="00653830"/>
    <w:rsid w:val="006553D1"/>
    <w:rsid w:val="006625F7"/>
    <w:rsid w:val="0066665D"/>
    <w:rsid w:val="00675A57"/>
    <w:rsid w:val="00675C4E"/>
    <w:rsid w:val="00675ED5"/>
    <w:rsid w:val="006770E4"/>
    <w:rsid w:val="0068095A"/>
    <w:rsid w:val="00681AE1"/>
    <w:rsid w:val="00684207"/>
    <w:rsid w:val="0069111E"/>
    <w:rsid w:val="006A19B6"/>
    <w:rsid w:val="006A55A9"/>
    <w:rsid w:val="006B12BD"/>
    <w:rsid w:val="006B379D"/>
    <w:rsid w:val="006B45B5"/>
    <w:rsid w:val="006B6022"/>
    <w:rsid w:val="006C5B7D"/>
    <w:rsid w:val="006C7846"/>
    <w:rsid w:val="006F04A4"/>
    <w:rsid w:val="006F2029"/>
    <w:rsid w:val="006F24EB"/>
    <w:rsid w:val="006F39A4"/>
    <w:rsid w:val="007025E8"/>
    <w:rsid w:val="007028A7"/>
    <w:rsid w:val="0071543B"/>
    <w:rsid w:val="0071748F"/>
    <w:rsid w:val="00717AB9"/>
    <w:rsid w:val="007225A9"/>
    <w:rsid w:val="00724F11"/>
    <w:rsid w:val="007301CF"/>
    <w:rsid w:val="00732040"/>
    <w:rsid w:val="00734394"/>
    <w:rsid w:val="00735145"/>
    <w:rsid w:val="007356CF"/>
    <w:rsid w:val="00736C70"/>
    <w:rsid w:val="00737FD0"/>
    <w:rsid w:val="007408D4"/>
    <w:rsid w:val="0074252F"/>
    <w:rsid w:val="00743FB2"/>
    <w:rsid w:val="00744625"/>
    <w:rsid w:val="007475E3"/>
    <w:rsid w:val="00747B54"/>
    <w:rsid w:val="00750E16"/>
    <w:rsid w:val="007523F0"/>
    <w:rsid w:val="00757709"/>
    <w:rsid w:val="00762E59"/>
    <w:rsid w:val="0076332B"/>
    <w:rsid w:val="007636E5"/>
    <w:rsid w:val="00764843"/>
    <w:rsid w:val="007774BB"/>
    <w:rsid w:val="0077757F"/>
    <w:rsid w:val="007804E6"/>
    <w:rsid w:val="0078391A"/>
    <w:rsid w:val="00787FCA"/>
    <w:rsid w:val="00791D54"/>
    <w:rsid w:val="00792466"/>
    <w:rsid w:val="00792BE9"/>
    <w:rsid w:val="0079305F"/>
    <w:rsid w:val="007A20F4"/>
    <w:rsid w:val="007A23CB"/>
    <w:rsid w:val="007B183D"/>
    <w:rsid w:val="007B2902"/>
    <w:rsid w:val="007B5121"/>
    <w:rsid w:val="007B64DF"/>
    <w:rsid w:val="007B70A8"/>
    <w:rsid w:val="007B7322"/>
    <w:rsid w:val="007C3FBC"/>
    <w:rsid w:val="007D047E"/>
    <w:rsid w:val="007D7D12"/>
    <w:rsid w:val="007E038B"/>
    <w:rsid w:val="007E29AC"/>
    <w:rsid w:val="007E45C4"/>
    <w:rsid w:val="007E4989"/>
    <w:rsid w:val="007E4EF5"/>
    <w:rsid w:val="007E608A"/>
    <w:rsid w:val="007E754B"/>
    <w:rsid w:val="007F5AEE"/>
    <w:rsid w:val="0081445A"/>
    <w:rsid w:val="008150BC"/>
    <w:rsid w:val="00822235"/>
    <w:rsid w:val="0082565F"/>
    <w:rsid w:val="008261F8"/>
    <w:rsid w:val="00826786"/>
    <w:rsid w:val="00827AAB"/>
    <w:rsid w:val="00830BDA"/>
    <w:rsid w:val="00834895"/>
    <w:rsid w:val="00840D17"/>
    <w:rsid w:val="00841D4C"/>
    <w:rsid w:val="00845CBB"/>
    <w:rsid w:val="00850E70"/>
    <w:rsid w:val="008531DD"/>
    <w:rsid w:val="0085365A"/>
    <w:rsid w:val="008609D2"/>
    <w:rsid w:val="0086320A"/>
    <w:rsid w:val="00863F05"/>
    <w:rsid w:val="00866213"/>
    <w:rsid w:val="008724C9"/>
    <w:rsid w:val="0087251B"/>
    <w:rsid w:val="00875C7F"/>
    <w:rsid w:val="00876A39"/>
    <w:rsid w:val="00877A56"/>
    <w:rsid w:val="00882162"/>
    <w:rsid w:val="008844DD"/>
    <w:rsid w:val="00890403"/>
    <w:rsid w:val="00890516"/>
    <w:rsid w:val="0089523B"/>
    <w:rsid w:val="008964C6"/>
    <w:rsid w:val="008977CF"/>
    <w:rsid w:val="008A7732"/>
    <w:rsid w:val="008B346E"/>
    <w:rsid w:val="008B78DF"/>
    <w:rsid w:val="008C5544"/>
    <w:rsid w:val="008C554B"/>
    <w:rsid w:val="008C5D11"/>
    <w:rsid w:val="008C6375"/>
    <w:rsid w:val="008C7404"/>
    <w:rsid w:val="008D18BD"/>
    <w:rsid w:val="008D4ADC"/>
    <w:rsid w:val="008D7AC3"/>
    <w:rsid w:val="008E0527"/>
    <w:rsid w:val="008E06F8"/>
    <w:rsid w:val="008E1211"/>
    <w:rsid w:val="008E1A2D"/>
    <w:rsid w:val="008E1DBB"/>
    <w:rsid w:val="008E35A0"/>
    <w:rsid w:val="008E5CC4"/>
    <w:rsid w:val="008E70BC"/>
    <w:rsid w:val="008F1954"/>
    <w:rsid w:val="008F4485"/>
    <w:rsid w:val="009122BB"/>
    <w:rsid w:val="00931CCB"/>
    <w:rsid w:val="00931EBA"/>
    <w:rsid w:val="00935836"/>
    <w:rsid w:val="009415D8"/>
    <w:rsid w:val="00941D62"/>
    <w:rsid w:val="00956650"/>
    <w:rsid w:val="00960BCB"/>
    <w:rsid w:val="00981813"/>
    <w:rsid w:val="009902D5"/>
    <w:rsid w:val="0099062C"/>
    <w:rsid w:val="00991DF5"/>
    <w:rsid w:val="009A020E"/>
    <w:rsid w:val="009A0549"/>
    <w:rsid w:val="009A17DC"/>
    <w:rsid w:val="009A21A2"/>
    <w:rsid w:val="009A4362"/>
    <w:rsid w:val="009A4F4C"/>
    <w:rsid w:val="009A6F8F"/>
    <w:rsid w:val="009B24B6"/>
    <w:rsid w:val="009B26A9"/>
    <w:rsid w:val="009B4D90"/>
    <w:rsid w:val="009B50A3"/>
    <w:rsid w:val="009C09D9"/>
    <w:rsid w:val="009C2727"/>
    <w:rsid w:val="009C7246"/>
    <w:rsid w:val="009D0464"/>
    <w:rsid w:val="009D3488"/>
    <w:rsid w:val="009D4261"/>
    <w:rsid w:val="009F56B2"/>
    <w:rsid w:val="00A0221C"/>
    <w:rsid w:val="00A02A1C"/>
    <w:rsid w:val="00A0427A"/>
    <w:rsid w:val="00A054F7"/>
    <w:rsid w:val="00A05F78"/>
    <w:rsid w:val="00A0785D"/>
    <w:rsid w:val="00A1380D"/>
    <w:rsid w:val="00A20D24"/>
    <w:rsid w:val="00A212F9"/>
    <w:rsid w:val="00A2175E"/>
    <w:rsid w:val="00A224BD"/>
    <w:rsid w:val="00A3193C"/>
    <w:rsid w:val="00A324BB"/>
    <w:rsid w:val="00A3476A"/>
    <w:rsid w:val="00A420EE"/>
    <w:rsid w:val="00A4379C"/>
    <w:rsid w:val="00A47ABC"/>
    <w:rsid w:val="00A55714"/>
    <w:rsid w:val="00A57673"/>
    <w:rsid w:val="00A57741"/>
    <w:rsid w:val="00A62200"/>
    <w:rsid w:val="00A625ED"/>
    <w:rsid w:val="00A649F0"/>
    <w:rsid w:val="00A74A03"/>
    <w:rsid w:val="00A760F7"/>
    <w:rsid w:val="00A7629C"/>
    <w:rsid w:val="00A778D2"/>
    <w:rsid w:val="00A82D01"/>
    <w:rsid w:val="00A867E2"/>
    <w:rsid w:val="00A91AD8"/>
    <w:rsid w:val="00A91C65"/>
    <w:rsid w:val="00A9311B"/>
    <w:rsid w:val="00A9389D"/>
    <w:rsid w:val="00A9456A"/>
    <w:rsid w:val="00AA05B9"/>
    <w:rsid w:val="00AA1599"/>
    <w:rsid w:val="00AA1F7F"/>
    <w:rsid w:val="00AB0969"/>
    <w:rsid w:val="00AB6CBD"/>
    <w:rsid w:val="00AC1CBA"/>
    <w:rsid w:val="00AC2B1E"/>
    <w:rsid w:val="00AC68EC"/>
    <w:rsid w:val="00AC6F3D"/>
    <w:rsid w:val="00AD379E"/>
    <w:rsid w:val="00AD3B5C"/>
    <w:rsid w:val="00AD45BD"/>
    <w:rsid w:val="00AD6493"/>
    <w:rsid w:val="00AD6EB3"/>
    <w:rsid w:val="00AE29B6"/>
    <w:rsid w:val="00AE6F2B"/>
    <w:rsid w:val="00AF54ED"/>
    <w:rsid w:val="00AF5DA8"/>
    <w:rsid w:val="00B01C7C"/>
    <w:rsid w:val="00B05DC1"/>
    <w:rsid w:val="00B16CDF"/>
    <w:rsid w:val="00B17FDD"/>
    <w:rsid w:val="00B2203E"/>
    <w:rsid w:val="00B253B2"/>
    <w:rsid w:val="00B360E7"/>
    <w:rsid w:val="00B40AB8"/>
    <w:rsid w:val="00B44A17"/>
    <w:rsid w:val="00B461C1"/>
    <w:rsid w:val="00B4681E"/>
    <w:rsid w:val="00B52A08"/>
    <w:rsid w:val="00B53F83"/>
    <w:rsid w:val="00B659B0"/>
    <w:rsid w:val="00B67BFC"/>
    <w:rsid w:val="00B7223C"/>
    <w:rsid w:val="00B76BF4"/>
    <w:rsid w:val="00B76ECD"/>
    <w:rsid w:val="00B80DB1"/>
    <w:rsid w:val="00B84612"/>
    <w:rsid w:val="00B84EAC"/>
    <w:rsid w:val="00B857A9"/>
    <w:rsid w:val="00B97EEE"/>
    <w:rsid w:val="00BA304D"/>
    <w:rsid w:val="00BA760F"/>
    <w:rsid w:val="00BB18A9"/>
    <w:rsid w:val="00BB4F70"/>
    <w:rsid w:val="00BC498E"/>
    <w:rsid w:val="00BC4A27"/>
    <w:rsid w:val="00BE13B7"/>
    <w:rsid w:val="00BE2FDB"/>
    <w:rsid w:val="00BE49E2"/>
    <w:rsid w:val="00BE7763"/>
    <w:rsid w:val="00BF0DE2"/>
    <w:rsid w:val="00BF4A1F"/>
    <w:rsid w:val="00C0006B"/>
    <w:rsid w:val="00C06AB0"/>
    <w:rsid w:val="00C116FF"/>
    <w:rsid w:val="00C12C44"/>
    <w:rsid w:val="00C16AC1"/>
    <w:rsid w:val="00C229CE"/>
    <w:rsid w:val="00C27726"/>
    <w:rsid w:val="00C27D6C"/>
    <w:rsid w:val="00C413D6"/>
    <w:rsid w:val="00C41BA8"/>
    <w:rsid w:val="00C46496"/>
    <w:rsid w:val="00C46DC5"/>
    <w:rsid w:val="00C50D3B"/>
    <w:rsid w:val="00C53FE4"/>
    <w:rsid w:val="00C5405E"/>
    <w:rsid w:val="00C558D9"/>
    <w:rsid w:val="00C56AD2"/>
    <w:rsid w:val="00C613FE"/>
    <w:rsid w:val="00C672F6"/>
    <w:rsid w:val="00C73842"/>
    <w:rsid w:val="00C738F1"/>
    <w:rsid w:val="00C74695"/>
    <w:rsid w:val="00C80C25"/>
    <w:rsid w:val="00C83523"/>
    <w:rsid w:val="00C8500C"/>
    <w:rsid w:val="00C85D66"/>
    <w:rsid w:val="00C95284"/>
    <w:rsid w:val="00C960EA"/>
    <w:rsid w:val="00CA4B3E"/>
    <w:rsid w:val="00CB0408"/>
    <w:rsid w:val="00CB0421"/>
    <w:rsid w:val="00CB3BA7"/>
    <w:rsid w:val="00CB3C92"/>
    <w:rsid w:val="00CB4861"/>
    <w:rsid w:val="00CB50CF"/>
    <w:rsid w:val="00CC0CE4"/>
    <w:rsid w:val="00CC341A"/>
    <w:rsid w:val="00CD41CD"/>
    <w:rsid w:val="00CD5B21"/>
    <w:rsid w:val="00CE2756"/>
    <w:rsid w:val="00CE4C03"/>
    <w:rsid w:val="00CE6097"/>
    <w:rsid w:val="00CF1507"/>
    <w:rsid w:val="00CF7173"/>
    <w:rsid w:val="00D05196"/>
    <w:rsid w:val="00D05733"/>
    <w:rsid w:val="00D16FE5"/>
    <w:rsid w:val="00D246C4"/>
    <w:rsid w:val="00D26347"/>
    <w:rsid w:val="00D264C6"/>
    <w:rsid w:val="00D26DCE"/>
    <w:rsid w:val="00D30EFE"/>
    <w:rsid w:val="00D31464"/>
    <w:rsid w:val="00D31EB8"/>
    <w:rsid w:val="00D3455F"/>
    <w:rsid w:val="00D36249"/>
    <w:rsid w:val="00D409D2"/>
    <w:rsid w:val="00D45EFD"/>
    <w:rsid w:val="00D4702D"/>
    <w:rsid w:val="00D50047"/>
    <w:rsid w:val="00D50180"/>
    <w:rsid w:val="00D55EB4"/>
    <w:rsid w:val="00D565D6"/>
    <w:rsid w:val="00D6490D"/>
    <w:rsid w:val="00D65578"/>
    <w:rsid w:val="00D71C1A"/>
    <w:rsid w:val="00D757C6"/>
    <w:rsid w:val="00D826FD"/>
    <w:rsid w:val="00D82C82"/>
    <w:rsid w:val="00D86CF2"/>
    <w:rsid w:val="00D8774F"/>
    <w:rsid w:val="00D92E28"/>
    <w:rsid w:val="00D94D95"/>
    <w:rsid w:val="00DB2112"/>
    <w:rsid w:val="00DB437D"/>
    <w:rsid w:val="00DC10B6"/>
    <w:rsid w:val="00DD0E8B"/>
    <w:rsid w:val="00DD221B"/>
    <w:rsid w:val="00DD613F"/>
    <w:rsid w:val="00DE04B3"/>
    <w:rsid w:val="00DE283E"/>
    <w:rsid w:val="00DE343F"/>
    <w:rsid w:val="00DE4802"/>
    <w:rsid w:val="00DE78A3"/>
    <w:rsid w:val="00DE7E87"/>
    <w:rsid w:val="00DF1509"/>
    <w:rsid w:val="00DF7142"/>
    <w:rsid w:val="00E03028"/>
    <w:rsid w:val="00E048C1"/>
    <w:rsid w:val="00E04D52"/>
    <w:rsid w:val="00E04F41"/>
    <w:rsid w:val="00E153BA"/>
    <w:rsid w:val="00E2072D"/>
    <w:rsid w:val="00E2145C"/>
    <w:rsid w:val="00E27335"/>
    <w:rsid w:val="00E3049E"/>
    <w:rsid w:val="00E313DE"/>
    <w:rsid w:val="00E32591"/>
    <w:rsid w:val="00E32600"/>
    <w:rsid w:val="00E408FC"/>
    <w:rsid w:val="00E45350"/>
    <w:rsid w:val="00E525CC"/>
    <w:rsid w:val="00E60A0F"/>
    <w:rsid w:val="00E63FA6"/>
    <w:rsid w:val="00E733F4"/>
    <w:rsid w:val="00E7481F"/>
    <w:rsid w:val="00E77CD1"/>
    <w:rsid w:val="00E77DE0"/>
    <w:rsid w:val="00E81B89"/>
    <w:rsid w:val="00E82996"/>
    <w:rsid w:val="00E86ACF"/>
    <w:rsid w:val="00E90096"/>
    <w:rsid w:val="00E913E6"/>
    <w:rsid w:val="00EA6FC3"/>
    <w:rsid w:val="00EC0EE6"/>
    <w:rsid w:val="00EC2483"/>
    <w:rsid w:val="00EC5038"/>
    <w:rsid w:val="00EC6B59"/>
    <w:rsid w:val="00ED1EA7"/>
    <w:rsid w:val="00ED3BA0"/>
    <w:rsid w:val="00ED751E"/>
    <w:rsid w:val="00EE039C"/>
    <w:rsid w:val="00EE1522"/>
    <w:rsid w:val="00EE4AEF"/>
    <w:rsid w:val="00EF3823"/>
    <w:rsid w:val="00F03AD8"/>
    <w:rsid w:val="00F1077C"/>
    <w:rsid w:val="00F14FAA"/>
    <w:rsid w:val="00F17E7F"/>
    <w:rsid w:val="00F23577"/>
    <w:rsid w:val="00F24E49"/>
    <w:rsid w:val="00F340AE"/>
    <w:rsid w:val="00F350C4"/>
    <w:rsid w:val="00F4165B"/>
    <w:rsid w:val="00F46D0F"/>
    <w:rsid w:val="00F50F21"/>
    <w:rsid w:val="00F55EEB"/>
    <w:rsid w:val="00F75117"/>
    <w:rsid w:val="00F75A0A"/>
    <w:rsid w:val="00F83977"/>
    <w:rsid w:val="00F85642"/>
    <w:rsid w:val="00F85C70"/>
    <w:rsid w:val="00F868A8"/>
    <w:rsid w:val="00F872FF"/>
    <w:rsid w:val="00F9003F"/>
    <w:rsid w:val="00F91C7E"/>
    <w:rsid w:val="00F95221"/>
    <w:rsid w:val="00FA3C58"/>
    <w:rsid w:val="00FA7AF6"/>
    <w:rsid w:val="00FB13BC"/>
    <w:rsid w:val="00FC1A57"/>
    <w:rsid w:val="00FC4715"/>
    <w:rsid w:val="00FC5DEA"/>
    <w:rsid w:val="00FC6AB3"/>
    <w:rsid w:val="00FC7D3F"/>
    <w:rsid w:val="00FD0CFB"/>
    <w:rsid w:val="00FD0F9E"/>
    <w:rsid w:val="00FD624B"/>
    <w:rsid w:val="00FE44A3"/>
    <w:rsid w:val="00FF04CE"/>
    <w:rsid w:val="00FF10B1"/>
    <w:rsid w:val="00FF2647"/>
    <w:rsid w:val="00FF49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45723F"/>
  <w15:docId w15:val="{C04DECDB-DDA6-4922-8E42-F81CCECE7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D8774F"/>
    <w:pPr>
      <w:keepNext/>
      <w:keepLines/>
      <w:spacing w:before="480"/>
      <w:outlineLvl w:val="0"/>
    </w:pPr>
    <w:rPr>
      <w:rFonts w:eastAsiaTheme="majorEastAsia" w:cstheme="majorBidi"/>
      <w:b/>
      <w:bCs/>
      <w:color w:val="365F91" w:themeColor="accent1" w:themeShade="BF"/>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7559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5595"/>
    <w:rPr>
      <w:rFonts w:ascii="Tahoma" w:hAnsi="Tahoma" w:cs="Tahoma"/>
      <w:sz w:val="16"/>
      <w:szCs w:val="16"/>
    </w:rPr>
  </w:style>
  <w:style w:type="paragraph" w:styleId="ListParagraph">
    <w:name w:val="List Paragraph"/>
    <w:basedOn w:val="Normal"/>
    <w:uiPriority w:val="34"/>
    <w:qFormat/>
    <w:rsid w:val="00DD221B"/>
    <w:pPr>
      <w:ind w:left="720"/>
      <w:contextualSpacing/>
    </w:pPr>
  </w:style>
  <w:style w:type="paragraph" w:styleId="Title">
    <w:name w:val="Title"/>
    <w:basedOn w:val="Normal"/>
    <w:link w:val="TitleChar"/>
    <w:qFormat/>
    <w:rsid w:val="007B70A8"/>
    <w:pPr>
      <w:widowControl w:val="0"/>
      <w:spacing w:line="240" w:lineRule="auto"/>
      <w:jc w:val="center"/>
    </w:pPr>
    <w:rPr>
      <w:rFonts w:eastAsia="Times New Roman"/>
      <w:snapToGrid w:val="0"/>
      <w:szCs w:val="20"/>
    </w:rPr>
  </w:style>
  <w:style w:type="character" w:customStyle="1" w:styleId="TitleChar">
    <w:name w:val="Title Char"/>
    <w:basedOn w:val="DefaultParagraphFont"/>
    <w:link w:val="Title"/>
    <w:rsid w:val="007B70A8"/>
    <w:rPr>
      <w:rFonts w:eastAsia="Times New Roman"/>
      <w:snapToGrid w:val="0"/>
      <w:szCs w:val="20"/>
    </w:rPr>
  </w:style>
  <w:style w:type="paragraph" w:styleId="BodyText">
    <w:name w:val="Body Text"/>
    <w:basedOn w:val="Normal"/>
    <w:link w:val="BodyTextChar"/>
    <w:semiHidden/>
    <w:rsid w:val="007B70A8"/>
    <w:pPr>
      <w:widowControl w:val="0"/>
      <w:spacing w:line="240" w:lineRule="auto"/>
      <w:jc w:val="center"/>
    </w:pPr>
    <w:rPr>
      <w:rFonts w:eastAsia="Times New Roman"/>
      <w:snapToGrid w:val="0"/>
      <w:sz w:val="20"/>
      <w:szCs w:val="20"/>
    </w:rPr>
  </w:style>
  <w:style w:type="character" w:customStyle="1" w:styleId="BodyTextChar">
    <w:name w:val="Body Text Char"/>
    <w:basedOn w:val="DefaultParagraphFont"/>
    <w:link w:val="BodyText"/>
    <w:semiHidden/>
    <w:rsid w:val="007B70A8"/>
    <w:rPr>
      <w:rFonts w:eastAsia="Times New Roman"/>
      <w:snapToGrid w:val="0"/>
      <w:sz w:val="20"/>
      <w:szCs w:val="20"/>
    </w:rPr>
  </w:style>
  <w:style w:type="paragraph" w:styleId="Footer">
    <w:name w:val="footer"/>
    <w:basedOn w:val="Normal"/>
    <w:link w:val="FooterChar"/>
    <w:semiHidden/>
    <w:rsid w:val="007B70A8"/>
    <w:pPr>
      <w:widowControl w:val="0"/>
      <w:tabs>
        <w:tab w:val="center" w:pos="4320"/>
        <w:tab w:val="right" w:pos="8640"/>
      </w:tabs>
      <w:spacing w:line="240" w:lineRule="auto"/>
    </w:pPr>
    <w:rPr>
      <w:rFonts w:eastAsia="Times New Roman"/>
      <w:snapToGrid w:val="0"/>
      <w:sz w:val="20"/>
      <w:szCs w:val="20"/>
    </w:rPr>
  </w:style>
  <w:style w:type="character" w:customStyle="1" w:styleId="FooterChar">
    <w:name w:val="Footer Char"/>
    <w:basedOn w:val="DefaultParagraphFont"/>
    <w:link w:val="Footer"/>
    <w:semiHidden/>
    <w:rsid w:val="007B70A8"/>
    <w:rPr>
      <w:rFonts w:eastAsia="Times New Roman"/>
      <w:snapToGrid w:val="0"/>
      <w:sz w:val="20"/>
      <w:szCs w:val="20"/>
    </w:rPr>
  </w:style>
  <w:style w:type="character" w:styleId="PageNumber">
    <w:name w:val="page number"/>
    <w:basedOn w:val="DefaultParagraphFont"/>
    <w:semiHidden/>
    <w:rsid w:val="007B70A8"/>
  </w:style>
  <w:style w:type="paragraph" w:styleId="NoSpacing">
    <w:name w:val="No Spacing"/>
    <w:link w:val="NoSpacingChar"/>
    <w:uiPriority w:val="1"/>
    <w:qFormat/>
    <w:rsid w:val="00D8774F"/>
    <w:pPr>
      <w:spacing w:line="240" w:lineRule="auto"/>
    </w:pPr>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D8774F"/>
    <w:rPr>
      <w:rFonts w:asciiTheme="minorHAnsi" w:eastAsiaTheme="minorEastAsia" w:hAnsiTheme="minorHAnsi" w:cstheme="minorBidi"/>
      <w:sz w:val="22"/>
      <w:szCs w:val="22"/>
    </w:rPr>
  </w:style>
  <w:style w:type="character" w:customStyle="1" w:styleId="Heading1Char">
    <w:name w:val="Heading 1 Char"/>
    <w:basedOn w:val="DefaultParagraphFont"/>
    <w:link w:val="Heading1"/>
    <w:uiPriority w:val="9"/>
    <w:rsid w:val="00D8774F"/>
    <w:rPr>
      <w:rFonts w:eastAsiaTheme="majorEastAsia" w:cstheme="majorBidi"/>
      <w:b/>
      <w:bCs/>
      <w:color w:val="365F91" w:themeColor="accent1" w:themeShade="BF"/>
      <w:szCs w:val="28"/>
    </w:rPr>
  </w:style>
  <w:style w:type="character" w:styleId="CommentReference">
    <w:name w:val="annotation reference"/>
    <w:basedOn w:val="DefaultParagraphFont"/>
    <w:uiPriority w:val="99"/>
    <w:semiHidden/>
    <w:unhideWhenUsed/>
    <w:rsid w:val="00A9311B"/>
    <w:rPr>
      <w:sz w:val="16"/>
      <w:szCs w:val="16"/>
    </w:rPr>
  </w:style>
  <w:style w:type="paragraph" w:styleId="CommentText">
    <w:name w:val="annotation text"/>
    <w:basedOn w:val="Normal"/>
    <w:link w:val="CommentTextChar"/>
    <w:uiPriority w:val="99"/>
    <w:semiHidden/>
    <w:unhideWhenUsed/>
    <w:rsid w:val="00A9311B"/>
    <w:pPr>
      <w:spacing w:line="240" w:lineRule="auto"/>
    </w:pPr>
    <w:rPr>
      <w:sz w:val="20"/>
      <w:szCs w:val="20"/>
    </w:rPr>
  </w:style>
  <w:style w:type="character" w:customStyle="1" w:styleId="CommentTextChar">
    <w:name w:val="Comment Text Char"/>
    <w:basedOn w:val="DefaultParagraphFont"/>
    <w:link w:val="CommentText"/>
    <w:uiPriority w:val="99"/>
    <w:semiHidden/>
    <w:rsid w:val="00A9311B"/>
    <w:rPr>
      <w:sz w:val="20"/>
      <w:szCs w:val="20"/>
    </w:rPr>
  </w:style>
  <w:style w:type="paragraph" w:styleId="CommentSubject">
    <w:name w:val="annotation subject"/>
    <w:basedOn w:val="CommentText"/>
    <w:next w:val="CommentText"/>
    <w:link w:val="CommentSubjectChar"/>
    <w:uiPriority w:val="99"/>
    <w:semiHidden/>
    <w:unhideWhenUsed/>
    <w:rsid w:val="00A9311B"/>
    <w:rPr>
      <w:b/>
      <w:bCs/>
    </w:rPr>
  </w:style>
  <w:style w:type="character" w:customStyle="1" w:styleId="CommentSubjectChar">
    <w:name w:val="Comment Subject Char"/>
    <w:basedOn w:val="CommentTextChar"/>
    <w:link w:val="CommentSubject"/>
    <w:uiPriority w:val="99"/>
    <w:semiHidden/>
    <w:rsid w:val="00A9311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163466">
      <w:bodyDiv w:val="1"/>
      <w:marLeft w:val="0"/>
      <w:marRight w:val="0"/>
      <w:marTop w:val="0"/>
      <w:marBottom w:val="0"/>
      <w:divBdr>
        <w:top w:val="none" w:sz="0" w:space="0" w:color="auto"/>
        <w:left w:val="none" w:sz="0" w:space="0" w:color="auto"/>
        <w:bottom w:val="none" w:sz="0" w:space="0" w:color="auto"/>
        <w:right w:val="none" w:sz="0" w:space="0" w:color="auto"/>
      </w:divBdr>
    </w:div>
    <w:div w:id="330452688">
      <w:bodyDiv w:val="1"/>
      <w:marLeft w:val="0"/>
      <w:marRight w:val="0"/>
      <w:marTop w:val="0"/>
      <w:marBottom w:val="0"/>
      <w:divBdr>
        <w:top w:val="none" w:sz="0" w:space="0" w:color="auto"/>
        <w:left w:val="none" w:sz="0" w:space="0" w:color="auto"/>
        <w:bottom w:val="none" w:sz="0" w:space="0" w:color="auto"/>
        <w:right w:val="none" w:sz="0" w:space="0" w:color="auto"/>
      </w:divBdr>
    </w:div>
    <w:div w:id="567376803">
      <w:bodyDiv w:val="1"/>
      <w:marLeft w:val="0"/>
      <w:marRight w:val="0"/>
      <w:marTop w:val="0"/>
      <w:marBottom w:val="0"/>
      <w:divBdr>
        <w:top w:val="none" w:sz="0" w:space="0" w:color="auto"/>
        <w:left w:val="none" w:sz="0" w:space="0" w:color="auto"/>
        <w:bottom w:val="none" w:sz="0" w:space="0" w:color="auto"/>
        <w:right w:val="none" w:sz="0" w:space="0" w:color="auto"/>
      </w:divBdr>
    </w:div>
    <w:div w:id="684787016">
      <w:bodyDiv w:val="1"/>
      <w:marLeft w:val="0"/>
      <w:marRight w:val="0"/>
      <w:marTop w:val="0"/>
      <w:marBottom w:val="0"/>
      <w:divBdr>
        <w:top w:val="none" w:sz="0" w:space="0" w:color="auto"/>
        <w:left w:val="none" w:sz="0" w:space="0" w:color="auto"/>
        <w:bottom w:val="none" w:sz="0" w:space="0" w:color="auto"/>
        <w:right w:val="none" w:sz="0" w:space="0" w:color="auto"/>
      </w:divBdr>
    </w:div>
    <w:div w:id="920792619">
      <w:bodyDiv w:val="1"/>
      <w:marLeft w:val="0"/>
      <w:marRight w:val="0"/>
      <w:marTop w:val="0"/>
      <w:marBottom w:val="0"/>
      <w:divBdr>
        <w:top w:val="none" w:sz="0" w:space="0" w:color="auto"/>
        <w:left w:val="none" w:sz="0" w:space="0" w:color="auto"/>
        <w:bottom w:val="none" w:sz="0" w:space="0" w:color="auto"/>
        <w:right w:val="none" w:sz="0" w:space="0" w:color="auto"/>
      </w:divBdr>
    </w:div>
    <w:div w:id="934706819">
      <w:bodyDiv w:val="1"/>
      <w:marLeft w:val="0"/>
      <w:marRight w:val="0"/>
      <w:marTop w:val="0"/>
      <w:marBottom w:val="0"/>
      <w:divBdr>
        <w:top w:val="none" w:sz="0" w:space="0" w:color="auto"/>
        <w:left w:val="none" w:sz="0" w:space="0" w:color="auto"/>
        <w:bottom w:val="none" w:sz="0" w:space="0" w:color="auto"/>
        <w:right w:val="none" w:sz="0" w:space="0" w:color="auto"/>
      </w:divBdr>
    </w:div>
    <w:div w:id="983661223">
      <w:bodyDiv w:val="1"/>
      <w:marLeft w:val="0"/>
      <w:marRight w:val="0"/>
      <w:marTop w:val="0"/>
      <w:marBottom w:val="0"/>
      <w:divBdr>
        <w:top w:val="none" w:sz="0" w:space="0" w:color="auto"/>
        <w:left w:val="none" w:sz="0" w:space="0" w:color="auto"/>
        <w:bottom w:val="none" w:sz="0" w:space="0" w:color="auto"/>
        <w:right w:val="none" w:sz="0" w:space="0" w:color="auto"/>
      </w:divBdr>
    </w:div>
    <w:div w:id="997031561">
      <w:bodyDiv w:val="1"/>
      <w:marLeft w:val="0"/>
      <w:marRight w:val="0"/>
      <w:marTop w:val="0"/>
      <w:marBottom w:val="0"/>
      <w:divBdr>
        <w:top w:val="none" w:sz="0" w:space="0" w:color="auto"/>
        <w:left w:val="none" w:sz="0" w:space="0" w:color="auto"/>
        <w:bottom w:val="none" w:sz="0" w:space="0" w:color="auto"/>
        <w:right w:val="none" w:sz="0" w:space="0" w:color="auto"/>
      </w:divBdr>
    </w:div>
    <w:div w:id="1267426192">
      <w:bodyDiv w:val="1"/>
      <w:marLeft w:val="0"/>
      <w:marRight w:val="0"/>
      <w:marTop w:val="0"/>
      <w:marBottom w:val="0"/>
      <w:divBdr>
        <w:top w:val="none" w:sz="0" w:space="0" w:color="auto"/>
        <w:left w:val="none" w:sz="0" w:space="0" w:color="auto"/>
        <w:bottom w:val="none" w:sz="0" w:space="0" w:color="auto"/>
        <w:right w:val="none" w:sz="0" w:space="0" w:color="auto"/>
      </w:divBdr>
    </w:div>
    <w:div w:id="1294291896">
      <w:bodyDiv w:val="1"/>
      <w:marLeft w:val="0"/>
      <w:marRight w:val="0"/>
      <w:marTop w:val="0"/>
      <w:marBottom w:val="0"/>
      <w:divBdr>
        <w:top w:val="none" w:sz="0" w:space="0" w:color="auto"/>
        <w:left w:val="none" w:sz="0" w:space="0" w:color="auto"/>
        <w:bottom w:val="none" w:sz="0" w:space="0" w:color="auto"/>
        <w:right w:val="none" w:sz="0" w:space="0" w:color="auto"/>
      </w:divBdr>
    </w:div>
    <w:div w:id="1359816806">
      <w:bodyDiv w:val="1"/>
      <w:marLeft w:val="0"/>
      <w:marRight w:val="0"/>
      <w:marTop w:val="0"/>
      <w:marBottom w:val="0"/>
      <w:divBdr>
        <w:top w:val="none" w:sz="0" w:space="0" w:color="auto"/>
        <w:left w:val="none" w:sz="0" w:space="0" w:color="auto"/>
        <w:bottom w:val="none" w:sz="0" w:space="0" w:color="auto"/>
        <w:right w:val="none" w:sz="0" w:space="0" w:color="auto"/>
      </w:divBdr>
    </w:div>
    <w:div w:id="1520385366">
      <w:bodyDiv w:val="1"/>
      <w:marLeft w:val="0"/>
      <w:marRight w:val="0"/>
      <w:marTop w:val="0"/>
      <w:marBottom w:val="0"/>
      <w:divBdr>
        <w:top w:val="none" w:sz="0" w:space="0" w:color="auto"/>
        <w:left w:val="none" w:sz="0" w:space="0" w:color="auto"/>
        <w:bottom w:val="none" w:sz="0" w:space="0" w:color="auto"/>
        <w:right w:val="none" w:sz="0" w:space="0" w:color="auto"/>
      </w:divBdr>
    </w:div>
    <w:div w:id="1671789845">
      <w:bodyDiv w:val="1"/>
      <w:marLeft w:val="0"/>
      <w:marRight w:val="0"/>
      <w:marTop w:val="0"/>
      <w:marBottom w:val="0"/>
      <w:divBdr>
        <w:top w:val="none" w:sz="0" w:space="0" w:color="auto"/>
        <w:left w:val="none" w:sz="0" w:space="0" w:color="auto"/>
        <w:bottom w:val="none" w:sz="0" w:space="0" w:color="auto"/>
        <w:right w:val="none" w:sz="0" w:space="0" w:color="auto"/>
      </w:divBdr>
    </w:div>
    <w:div w:id="1848061309">
      <w:bodyDiv w:val="1"/>
      <w:marLeft w:val="0"/>
      <w:marRight w:val="0"/>
      <w:marTop w:val="0"/>
      <w:marBottom w:val="0"/>
      <w:divBdr>
        <w:top w:val="none" w:sz="0" w:space="0" w:color="auto"/>
        <w:left w:val="none" w:sz="0" w:space="0" w:color="auto"/>
        <w:bottom w:val="none" w:sz="0" w:space="0" w:color="auto"/>
        <w:right w:val="none" w:sz="0" w:space="0" w:color="auto"/>
      </w:divBdr>
    </w:div>
    <w:div w:id="2007634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6D2377-C1C7-49B2-832B-FAC4802D29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409</TotalTime>
  <Pages>18</Pages>
  <Words>5053</Words>
  <Characters>28803</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Bio-Tiger Model User Manual</vt:lpstr>
    </vt:vector>
  </TitlesOfParts>
  <Company>University of Tennessee</Company>
  <LinksUpToDate>false</LinksUpToDate>
  <CharactersWithSpaces>33789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Bio-Tiger Model User Manual</dc:title>
  <dc:creator>Brett N. Ward</dc:creator>
  <cp:lastModifiedBy>Larry W Moore (lwmoore)</cp:lastModifiedBy>
  <cp:revision>40</cp:revision>
  <cp:lastPrinted>2017-08-28T16:14:00Z</cp:lastPrinted>
  <dcterms:created xsi:type="dcterms:W3CDTF">2017-08-24T20:33:00Z</dcterms:created>
  <dcterms:modified xsi:type="dcterms:W3CDTF">2017-08-28T16:35:00Z</dcterms:modified>
</cp:coreProperties>
</file>